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rFonts w:asciiTheme="minorHAnsi" w:hAnsiTheme="minorHAnsi" w:cstheme="minorHAnsi"/>
            <w:sz w:val="22"/>
            <w:szCs w:val="22"/>
          </w:rPr>
          <w:alias w:val="Header"/>
          <w:tag w:val="A4pCgmOjXaoPaysOY21Ij7-5QkCVxYFQ4ANGFaoRKN4I2"/>
          <w:id w:val="-347253777"/>
        </w:sdtPr>
        <w:sdtEndPr/>
        <w:sdtContent>
          <w:tr w:rsidR="00D139D0" w:rsidRPr="004B23D6" w14:paraId="18E0930C" w14:textId="77777777">
            <w:tc>
              <w:tcPr>
                <w:tcW w:w="2400" w:type="dxa"/>
              </w:tcPr>
              <w:p w14:paraId="5E3308D6" w14:textId="77777777" w:rsidR="00D139D0" w:rsidRPr="004B23D6" w:rsidRDefault="00CD6762" w:rsidP="00345344">
                <w:pPr>
                  <w:pStyle w:val="ZFlag"/>
                  <w:spacing w:after="120"/>
                  <w:rPr>
                    <w:rFonts w:asciiTheme="minorHAnsi" w:hAnsiTheme="minorHAnsi" w:cstheme="minorHAnsi"/>
                    <w:sz w:val="22"/>
                    <w:szCs w:val="22"/>
                  </w:rPr>
                </w:pPr>
                <w:r>
                  <w:rPr>
                    <w:rFonts w:asciiTheme="minorHAnsi" w:hAnsiTheme="minorHAnsi"/>
                    <w:noProof/>
                    <w:sz w:val="22"/>
                    <w:szCs w:val="22"/>
                    <w:lang w:val="en-GB" w:eastAsia="en-GB"/>
                  </w:rPr>
                  <w:drawing>
                    <wp:inline distT="0" distB="0" distL="0" distR="0" wp14:anchorId="66A73927" wp14:editId="38488C19">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6E6E496" w14:textId="77777777" w:rsidR="00D139D0" w:rsidRPr="004B23D6" w:rsidRDefault="00D01466" w:rsidP="00345344">
                <w:pPr>
                  <w:pStyle w:val="ZCom"/>
                  <w:spacing w:before="0" w:after="120"/>
                  <w:rPr>
                    <w:rFonts w:asciiTheme="minorHAnsi" w:hAnsiTheme="minorHAnsi" w:cstheme="minorHAnsi"/>
                    <w:sz w:val="22"/>
                    <w:szCs w:val="22"/>
                  </w:rPr>
                </w:pPr>
                <w:sdt>
                  <w:sdtPr>
                    <w:rPr>
                      <w:rFonts w:asciiTheme="minorHAnsi" w:hAnsiTheme="minorHAnsi" w:cstheme="minorHAnsi"/>
                      <w:noProof/>
                      <w:sz w:val="22"/>
                      <w:szCs w:val="22"/>
                    </w:rPr>
                    <w:id w:val="1652865854"/>
                    <w:dataBinding w:xpath="/Texts/OrgaRoot" w:storeItemID="{4EF90DE6-88B6-4264-9629-4D8DFDFE87D2}"/>
                    <w:text w:multiLine="1"/>
                  </w:sdtPr>
                  <w:sdtEndPr/>
                  <w:sdtContent>
                    <w:r w:rsidR="007966F3">
                      <w:rPr>
                        <w:rFonts w:asciiTheme="minorHAnsi" w:hAnsiTheme="minorHAnsi"/>
                        <w:sz w:val="22"/>
                        <w:szCs w:val="22"/>
                      </w:rPr>
                      <w:t>EIROPAS KOMISIJA</w:t>
                    </w:r>
                  </w:sdtContent>
                </w:sdt>
              </w:p>
              <w:p w14:paraId="42DC4F72" w14:textId="77777777" w:rsidR="00D139D0" w:rsidRPr="004B23D6" w:rsidRDefault="00D01466" w:rsidP="00345344">
                <w:pPr>
                  <w:pStyle w:val="ZDGName"/>
                  <w:spacing w:after="120"/>
                  <w:jc w:val="both"/>
                  <w:rPr>
                    <w:rFonts w:asciiTheme="minorHAnsi" w:hAnsiTheme="minorHAnsi" w:cstheme="minorHAnsi"/>
                    <w:sz w:val="22"/>
                    <w:szCs w:val="22"/>
                  </w:rPr>
                </w:pPr>
                <w:sdt>
                  <w:sdtPr>
                    <w:rPr>
                      <w:rFonts w:asciiTheme="minorHAnsi" w:hAnsiTheme="minorHAnsi" w:cstheme="minorHAnsi"/>
                      <w:noProof/>
                      <w:sz w:val="22"/>
                      <w:szCs w:val="22"/>
                    </w:rPr>
                    <w:id w:val="-1646649540"/>
                    <w:showingPlcHdr/>
                    <w:dataBinding w:xpath="/Author/OrgaEntity1/HeadLine1" w:storeItemID="{EE044946-5330-43F7-8D16-AA78684F2938}"/>
                    <w:text w:multiLine="1"/>
                  </w:sdtPr>
                  <w:sdtEndPr/>
                  <w:sdtContent>
                    <w:r w:rsidR="007966F3">
                      <w:rPr>
                        <w:rFonts w:asciiTheme="minorHAnsi" w:hAnsiTheme="minorHAnsi"/>
                        <w:sz w:val="22"/>
                        <w:szCs w:val="22"/>
                      </w:rPr>
                      <w:t xml:space="preserve"> </w:t>
                    </w:r>
                  </w:sdtContent>
                </w:sdt>
              </w:p>
            </w:tc>
          </w:tr>
        </w:sdtContent>
      </w:sdt>
    </w:tbl>
    <w:sdt>
      <w:sdtPr>
        <w:rPr>
          <w:rFonts w:asciiTheme="minorHAnsi" w:hAnsiTheme="minorHAnsi" w:cstheme="minorHAnsi"/>
          <w:sz w:val="22"/>
          <w:szCs w:val="22"/>
        </w:rPr>
        <w:alias w:val="Location Only"/>
        <w:tag w:val="ggweWNz4R2PF8myPezMsmJ-z0jfFkX8xo5Q7sjQESi5Y4"/>
        <w:id w:val="449433239"/>
      </w:sdtPr>
      <w:sdtEndPr/>
      <w:sdtContent>
        <w:p w14:paraId="7A75E389" w14:textId="5A0BE60E" w:rsidR="00840B39" w:rsidRPr="004B23D6" w:rsidRDefault="00840B39" w:rsidP="00345344">
          <w:pPr>
            <w:spacing w:after="120"/>
            <w:jc w:val="center"/>
            <w:rPr>
              <w:rFonts w:asciiTheme="minorHAnsi" w:eastAsia="Calibri" w:hAnsiTheme="minorHAnsi" w:cstheme="minorHAnsi"/>
              <w:i/>
              <w:color w:val="FF0000"/>
              <w:sz w:val="22"/>
              <w:szCs w:val="22"/>
              <w:lang w:val="en-GB" w:eastAsia="en-US"/>
            </w:rPr>
          </w:pPr>
        </w:p>
        <w:p w14:paraId="244FEEDF" w14:textId="26989725" w:rsidR="00792A1F" w:rsidRPr="004B23D6" w:rsidRDefault="00792A1F" w:rsidP="00345344">
          <w:pPr>
            <w:spacing w:after="120"/>
            <w:rPr>
              <w:rFonts w:asciiTheme="minorHAnsi" w:eastAsia="Calibri" w:hAnsiTheme="minorHAnsi" w:cstheme="minorHAnsi"/>
              <w:b/>
              <w:sz w:val="22"/>
              <w:szCs w:val="22"/>
              <w:u w:val="single"/>
              <w:lang w:val="en-GB" w:eastAsia="en-US"/>
            </w:rPr>
          </w:pPr>
        </w:p>
        <w:p w14:paraId="298B9490" w14:textId="77777777" w:rsidR="00C73EA0" w:rsidRPr="004B23D6" w:rsidRDefault="00C73EA0" w:rsidP="00345344">
          <w:pPr>
            <w:spacing w:after="120"/>
            <w:jc w:val="center"/>
            <w:rPr>
              <w:rFonts w:asciiTheme="minorHAnsi" w:eastAsia="Calibri" w:hAnsiTheme="minorHAnsi" w:cstheme="minorHAnsi"/>
              <w:b/>
              <w:sz w:val="22"/>
              <w:szCs w:val="22"/>
              <w:u w:val="single"/>
            </w:rPr>
          </w:pPr>
          <w:r>
            <w:rPr>
              <w:rFonts w:asciiTheme="minorHAnsi" w:hAnsiTheme="minorHAnsi"/>
              <w:b/>
              <w:sz w:val="22"/>
              <w:szCs w:val="22"/>
              <w:u w:val="single"/>
            </w:rPr>
            <w:t>JŪSU PERSONDATU AIZSARDZĪBA</w:t>
          </w:r>
        </w:p>
        <w:p w14:paraId="6ACF30F3" w14:textId="77777777" w:rsidR="00EF16FE" w:rsidRPr="001F241D" w:rsidRDefault="00EF16FE" w:rsidP="00345344">
          <w:pPr>
            <w:spacing w:after="120"/>
            <w:jc w:val="center"/>
            <w:rPr>
              <w:rFonts w:asciiTheme="minorHAnsi" w:hAnsiTheme="minorHAnsi"/>
              <w:b/>
              <w:sz w:val="22"/>
              <w:szCs w:val="22"/>
            </w:rPr>
          </w:pPr>
          <w:r w:rsidRPr="001F241D">
            <w:rPr>
              <w:rFonts w:asciiTheme="minorHAnsi" w:hAnsiTheme="minorHAnsi"/>
              <w:b/>
              <w:sz w:val="22"/>
              <w:szCs w:val="22"/>
            </w:rPr>
            <w:t xml:space="preserve">Šajā paziņojumā par privātumu ir sniegta informācija par </w:t>
          </w:r>
          <w:r w:rsidRPr="001F241D">
            <w:rPr>
              <w:rFonts w:asciiTheme="minorHAnsi" w:hAnsiTheme="minorHAnsi"/>
              <w:b/>
              <w:sz w:val="22"/>
              <w:szCs w:val="22"/>
            </w:rPr>
            <w:br/>
            <w:t>jūsu persondatu apstrādi un aizsardzību.</w:t>
          </w:r>
        </w:p>
        <w:p w14:paraId="2995D5E9" w14:textId="77777777" w:rsidR="003D1A79" w:rsidRPr="004B23D6" w:rsidRDefault="003D1A79" w:rsidP="00345344">
          <w:pPr>
            <w:spacing w:after="120"/>
            <w:jc w:val="center"/>
            <w:rPr>
              <w:rFonts w:asciiTheme="minorHAnsi" w:eastAsia="Calibri" w:hAnsiTheme="minorHAnsi" w:cstheme="minorHAnsi"/>
              <w:b/>
              <w:sz w:val="22"/>
              <w:szCs w:val="22"/>
              <w:lang w:val="en-GB" w:eastAsia="en-US"/>
            </w:rPr>
          </w:pPr>
        </w:p>
        <w:p w14:paraId="743C1A64" w14:textId="22955956" w:rsidR="00C73EA0" w:rsidRPr="00840B39" w:rsidRDefault="00EF16FE" w:rsidP="00345344">
          <w:pPr>
            <w:spacing w:after="120"/>
            <w:rPr>
              <w:rFonts w:asciiTheme="minorHAnsi" w:eastAsia="Calibri" w:hAnsiTheme="minorHAnsi" w:cstheme="minorHAnsi"/>
              <w:color w:val="000000" w:themeColor="text1"/>
              <w:sz w:val="22"/>
              <w:szCs w:val="22"/>
            </w:rPr>
          </w:pPr>
          <w:r>
            <w:rPr>
              <w:rFonts w:asciiTheme="minorHAnsi" w:hAnsiTheme="minorHAnsi"/>
              <w:b/>
              <w:sz w:val="22"/>
              <w:szCs w:val="22"/>
            </w:rPr>
            <w:t xml:space="preserve">Apstrādes darbība: </w:t>
          </w:r>
          <w:r>
            <w:rPr>
              <w:rFonts w:asciiTheme="minorHAnsi" w:hAnsiTheme="minorHAnsi"/>
              <w:color w:val="000000" w:themeColor="text1"/>
              <w:sz w:val="22"/>
              <w:szCs w:val="22"/>
            </w:rPr>
            <w:t>Covid-19: ķermeņa temperatūras kontrole, ieejot Komisijas telpās Komisijas pārstāvniecībās</w:t>
          </w:r>
        </w:p>
        <w:p w14:paraId="40CD6ADC" w14:textId="5690EDE4" w:rsidR="007F195C" w:rsidRPr="0043281A" w:rsidRDefault="007F195C" w:rsidP="00345344">
          <w:pPr>
            <w:spacing w:after="120"/>
            <w:rPr>
              <w:rFonts w:asciiTheme="minorHAnsi" w:eastAsia="Calibri" w:hAnsiTheme="minorHAnsi" w:cstheme="minorHAnsi"/>
              <w:b/>
              <w:color w:val="000000" w:themeColor="text1"/>
              <w:sz w:val="22"/>
              <w:szCs w:val="22"/>
            </w:rPr>
          </w:pPr>
          <w:r>
            <w:rPr>
              <w:rFonts w:asciiTheme="minorHAnsi" w:hAnsiTheme="minorHAnsi"/>
              <w:b/>
              <w:sz w:val="22"/>
              <w:szCs w:val="22"/>
            </w:rPr>
            <w:t>Datu pārzinis:</w:t>
          </w:r>
          <w:r>
            <w:rPr>
              <w:rFonts w:asciiTheme="minorHAnsi" w:hAnsiTheme="minorHAnsi"/>
              <w:b/>
              <w:i/>
              <w:color w:val="FF0000"/>
              <w:sz w:val="22"/>
              <w:szCs w:val="22"/>
            </w:rPr>
            <w:t xml:space="preserve"> </w:t>
          </w:r>
          <w:r>
            <w:rPr>
              <w:rFonts w:asciiTheme="minorHAnsi" w:hAnsiTheme="minorHAnsi"/>
              <w:i/>
              <w:iCs/>
              <w:color w:val="000000" w:themeColor="text1"/>
              <w:sz w:val="22"/>
              <w:szCs w:val="22"/>
            </w:rPr>
            <w:t>DG COMM.D.2</w:t>
          </w:r>
        </w:p>
        <w:p w14:paraId="23894F91" w14:textId="1D764B40" w:rsidR="007E2E8A" w:rsidRPr="003D1A79" w:rsidRDefault="007E2E8A" w:rsidP="00345344">
          <w:pPr>
            <w:spacing w:after="120"/>
            <w:rPr>
              <w:rFonts w:asciiTheme="minorHAnsi" w:eastAsia="Calibri" w:hAnsiTheme="minorHAnsi" w:cstheme="minorHAnsi"/>
              <w:i/>
              <w:color w:val="FF0000"/>
              <w:sz w:val="22"/>
              <w:szCs w:val="22"/>
            </w:rPr>
          </w:pPr>
          <w:r>
            <w:rPr>
              <w:rFonts w:asciiTheme="minorHAnsi" w:hAnsiTheme="minorHAnsi"/>
              <w:b/>
              <w:sz w:val="22"/>
              <w:szCs w:val="22"/>
            </w:rPr>
            <w:t xml:space="preserve">Atsauce reģistrā:  </w:t>
          </w:r>
          <w:r>
            <w:rPr>
              <w:rFonts w:asciiTheme="minorHAnsi" w:hAnsiTheme="minorHAnsi"/>
              <w:color w:val="000000" w:themeColor="text1"/>
              <w:sz w:val="22"/>
              <w:szCs w:val="22"/>
            </w:rPr>
            <w:t>DPR-EC-08307.1</w:t>
          </w:r>
          <w:bookmarkStart w:id="0" w:name="_GoBack"/>
          <w:bookmarkEnd w:id="0"/>
        </w:p>
        <w:p w14:paraId="65BE38C1" w14:textId="77777777" w:rsidR="00636EE5" w:rsidRPr="004B23D6" w:rsidRDefault="00636EE5" w:rsidP="00345344">
          <w:pPr>
            <w:spacing w:after="120"/>
            <w:rPr>
              <w:rFonts w:asciiTheme="minorHAnsi" w:eastAsia="Calibri" w:hAnsiTheme="minorHAnsi" w:cstheme="minorHAnsi"/>
              <w:b/>
              <w:i/>
              <w:color w:val="FF0000"/>
              <w:sz w:val="22"/>
              <w:szCs w:val="22"/>
              <w:lang w:val="en-GB" w:eastAsia="en-US"/>
            </w:rPr>
          </w:pPr>
        </w:p>
        <w:p w14:paraId="4D941E1A" w14:textId="77777777" w:rsidR="00C73EA0" w:rsidRPr="004B23D6" w:rsidRDefault="00C73EA0" w:rsidP="00345344">
          <w:pPr>
            <w:spacing w:after="120"/>
            <w:rPr>
              <w:rFonts w:asciiTheme="minorHAnsi" w:eastAsia="Calibri" w:hAnsiTheme="minorHAnsi" w:cstheme="minorHAnsi"/>
              <w:b/>
              <w:sz w:val="22"/>
              <w:szCs w:val="22"/>
            </w:rPr>
          </w:pPr>
          <w:r>
            <w:rPr>
              <w:rFonts w:asciiTheme="minorHAnsi" w:hAnsiTheme="minorHAnsi"/>
              <w:b/>
              <w:sz w:val="22"/>
              <w:szCs w:val="22"/>
            </w:rPr>
            <w:t>Saturs</w:t>
          </w:r>
        </w:p>
        <w:p w14:paraId="4653AB0E"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Ievads</w:t>
          </w:r>
        </w:p>
        <w:p w14:paraId="12D6093D"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Kāpēc un kā mēs persondatus apstrādājam?</w:t>
          </w:r>
        </w:p>
        <w:p w14:paraId="382D11C6"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 xml:space="preserve"> Kāds ir jūsu persondatu apstrādes juridiskais pamats?</w:t>
          </w:r>
        </w:p>
        <w:p w14:paraId="340F9DA4"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Kādus persondatus mēs vācam un apstrādājam tālāk?</w:t>
          </w:r>
        </w:p>
        <w:p w14:paraId="561F65B5"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Cik ilgi mēs glabājam jūsu persondatus?</w:t>
          </w:r>
        </w:p>
        <w:p w14:paraId="0D8DB563" w14:textId="77777777" w:rsidR="00C73EA0" w:rsidRPr="004B23D6" w:rsidRDefault="00C73EA0" w:rsidP="00345344">
          <w:pPr>
            <w:numPr>
              <w:ilvl w:val="0"/>
              <w:numId w:val="20"/>
            </w:numPr>
            <w:spacing w:after="120"/>
            <w:rPr>
              <w:rFonts w:asciiTheme="minorHAnsi" w:eastAsia="Calibri" w:hAnsiTheme="minorHAnsi" w:cstheme="minorHAnsi"/>
              <w:b/>
              <w:bCs/>
              <w:sz w:val="22"/>
              <w:szCs w:val="22"/>
            </w:rPr>
          </w:pPr>
          <w:r>
            <w:rPr>
              <w:rFonts w:asciiTheme="minorHAnsi" w:hAnsiTheme="minorHAnsi"/>
              <w:b/>
              <w:bCs/>
              <w:sz w:val="22"/>
              <w:szCs w:val="22"/>
            </w:rPr>
            <w:t>Kā mēs aizsargājam jūsu persondatus?</w:t>
          </w:r>
        </w:p>
        <w:p w14:paraId="10744845" w14:textId="77777777" w:rsidR="00C73EA0" w:rsidRPr="004B23D6" w:rsidRDefault="00C73EA0" w:rsidP="00345344">
          <w:pPr>
            <w:numPr>
              <w:ilvl w:val="0"/>
              <w:numId w:val="20"/>
            </w:numPr>
            <w:spacing w:after="120"/>
            <w:rPr>
              <w:rFonts w:asciiTheme="minorHAnsi" w:eastAsia="Calibri" w:hAnsiTheme="minorHAnsi" w:cstheme="minorHAnsi"/>
              <w:b/>
              <w:bCs/>
              <w:sz w:val="22"/>
              <w:szCs w:val="22"/>
            </w:rPr>
          </w:pPr>
          <w:r>
            <w:rPr>
              <w:rFonts w:asciiTheme="minorHAnsi" w:hAnsiTheme="minorHAnsi"/>
              <w:b/>
              <w:bCs/>
              <w:sz w:val="22"/>
              <w:szCs w:val="22"/>
            </w:rPr>
            <w:t>Kam ir pieejami jūsu persondati un kam tos izpauž?</w:t>
          </w:r>
        </w:p>
        <w:p w14:paraId="58054679"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 xml:space="preserve">Kādas ir jūsu tiesības un kā jūs tās varat īstenot? </w:t>
          </w:r>
        </w:p>
        <w:p w14:paraId="5D6D6DC4" w14:textId="77777777" w:rsidR="00C73EA0" w:rsidRPr="004B23D6" w:rsidRDefault="00C73EA0" w:rsidP="00345344">
          <w:pPr>
            <w:numPr>
              <w:ilvl w:val="0"/>
              <w:numId w:val="20"/>
            </w:numPr>
            <w:spacing w:after="120"/>
            <w:ind w:left="357" w:hanging="357"/>
            <w:rPr>
              <w:rFonts w:asciiTheme="minorHAnsi" w:eastAsia="Calibri" w:hAnsiTheme="minorHAnsi" w:cstheme="minorHAnsi"/>
              <w:b/>
              <w:bCs/>
              <w:sz w:val="22"/>
              <w:szCs w:val="22"/>
            </w:rPr>
          </w:pPr>
          <w:r>
            <w:rPr>
              <w:rFonts w:asciiTheme="minorHAnsi" w:hAnsiTheme="minorHAnsi"/>
              <w:b/>
              <w:bCs/>
              <w:sz w:val="22"/>
              <w:szCs w:val="22"/>
            </w:rPr>
            <w:t>Kontaktinformācija</w:t>
          </w:r>
        </w:p>
        <w:p w14:paraId="4A18E1ED" w14:textId="77777777" w:rsidR="00C73EA0" w:rsidRPr="004B23D6" w:rsidRDefault="00C73EA0" w:rsidP="00345344">
          <w:pPr>
            <w:numPr>
              <w:ilvl w:val="0"/>
              <w:numId w:val="20"/>
            </w:numPr>
            <w:spacing w:after="120"/>
            <w:ind w:left="357" w:hanging="357"/>
            <w:rPr>
              <w:rFonts w:asciiTheme="minorHAnsi" w:eastAsia="Calibri" w:hAnsiTheme="minorHAnsi" w:cstheme="minorHAnsi"/>
              <w:b/>
              <w:sz w:val="22"/>
              <w:szCs w:val="22"/>
            </w:rPr>
          </w:pPr>
          <w:r>
            <w:rPr>
              <w:rFonts w:asciiTheme="minorHAnsi" w:hAnsiTheme="minorHAnsi"/>
              <w:b/>
              <w:bCs/>
              <w:sz w:val="22"/>
              <w:szCs w:val="22"/>
            </w:rPr>
            <w:t xml:space="preserve">Kur var atrast sīkāku informāciju? </w:t>
          </w:r>
        </w:p>
        <w:p w14:paraId="37A02640" w14:textId="77777777" w:rsidR="00636EE5" w:rsidRPr="004B23D6" w:rsidRDefault="00636EE5" w:rsidP="00345344">
          <w:pPr>
            <w:spacing w:after="120"/>
            <w:jc w:val="left"/>
            <w:rPr>
              <w:rFonts w:asciiTheme="minorHAnsi" w:eastAsia="Calibri" w:hAnsiTheme="minorHAnsi" w:cstheme="minorHAnsi"/>
              <w:b/>
              <w:sz w:val="22"/>
              <w:szCs w:val="22"/>
              <w:u w:val="single"/>
            </w:rPr>
          </w:pPr>
          <w:r>
            <w:br w:type="page"/>
          </w:r>
        </w:p>
        <w:p w14:paraId="15E84756" w14:textId="77777777" w:rsidR="00C73EA0" w:rsidRPr="004B23D6" w:rsidRDefault="00C73EA0" w:rsidP="00345344">
          <w:pPr>
            <w:numPr>
              <w:ilvl w:val="0"/>
              <w:numId w:val="21"/>
            </w:numPr>
            <w:spacing w:after="120"/>
            <w:rPr>
              <w:rFonts w:asciiTheme="minorHAnsi" w:eastAsia="Calibri" w:hAnsiTheme="minorHAnsi" w:cstheme="minorHAnsi"/>
              <w:b/>
              <w:sz w:val="22"/>
              <w:szCs w:val="22"/>
              <w:u w:val="single"/>
            </w:rPr>
          </w:pPr>
          <w:r>
            <w:rPr>
              <w:rFonts w:asciiTheme="minorHAnsi" w:hAnsiTheme="minorHAnsi"/>
              <w:b/>
              <w:sz w:val="22"/>
              <w:szCs w:val="22"/>
              <w:u w:val="single"/>
            </w:rPr>
            <w:lastRenderedPageBreak/>
            <w:t>Ievads</w:t>
          </w:r>
        </w:p>
        <w:p w14:paraId="0B0558CE" w14:textId="52858023" w:rsidR="00434056" w:rsidRPr="004B23D6" w:rsidRDefault="00434056" w:rsidP="00345344">
          <w:pPr>
            <w:spacing w:after="120"/>
            <w:rPr>
              <w:rFonts w:asciiTheme="minorHAnsi" w:eastAsia="Calibri" w:hAnsiTheme="minorHAnsi" w:cstheme="minorHAnsi"/>
              <w:sz w:val="22"/>
              <w:szCs w:val="22"/>
            </w:rPr>
          </w:pPr>
          <w:r>
            <w:rPr>
              <w:rFonts w:asciiTheme="minorHAnsi" w:hAnsiTheme="minorHAnsi"/>
              <w:sz w:val="22"/>
              <w:szCs w:val="22"/>
            </w:rPr>
            <w:t>Eiropas Komisija (“Komisija”) ir apņēmusies aizsargāt jūsu persondatus un ievērot jūsu privātumu. Komisija persondatus vāc un apstrādā tālāk atbilstīgi Eiropas Parlamenta un Padomes 2018. gada 23. oktobra Regulai (ES) 2018/1725 par fizisku personu aizsardzību attiecībā uz personas datu apstrādi Savienības iestādēs, struktūrās, birojos un aģentūrās un par šādu datu brīvu apriti (ar ko atceļ Regulu (EK) Nr. 45/2001).</w:t>
          </w:r>
        </w:p>
        <w:p w14:paraId="672C90E7" w14:textId="77777777" w:rsidR="00C73EA0" w:rsidRPr="00840B39" w:rsidRDefault="00C73EA0" w:rsidP="00345344">
          <w:pPr>
            <w:spacing w:after="120"/>
            <w:rPr>
              <w:rFonts w:asciiTheme="minorHAnsi" w:eastAsia="Calibri" w:hAnsiTheme="minorHAnsi" w:cstheme="minorHAnsi"/>
              <w:color w:val="000000" w:themeColor="text1"/>
              <w:sz w:val="22"/>
              <w:szCs w:val="22"/>
            </w:rPr>
          </w:pPr>
          <w:r>
            <w:rPr>
              <w:rFonts w:asciiTheme="minorHAnsi" w:hAnsiTheme="minorHAnsi"/>
              <w:sz w:val="22"/>
              <w:szCs w:val="22"/>
            </w:rPr>
            <w:t>Šajā paziņojumā par privātumu ir paskaidroti jūsu persondatu apstrādes iemesli un tas, kā tie tiek vākti, apstrādāti, aizsargāti un izmantoti, un kādas ir jūsu tiesības saistībā ar jūsu persondatiem. Šeit ir norādīta arī kontaktinformācija saziņai ar atbildīgo datu pārzini, pie kura varat vērsties, lai izmantotu savas tiesības, un datu aizsardzības speciālista un Eiropas Datu aizsardzības uzraudzītāja kontaktinformācija.</w:t>
          </w:r>
        </w:p>
        <w:p w14:paraId="33BFE55B" w14:textId="0444DCC0" w:rsidR="00C73EA0" w:rsidRPr="00840B39" w:rsidRDefault="009C76CC" w:rsidP="00345344">
          <w:pPr>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 xml:space="preserve">Informācija par </w:t>
          </w:r>
          <w:r>
            <w:rPr>
              <w:rFonts w:asciiTheme="minorHAnsi" w:hAnsiTheme="minorHAnsi"/>
              <w:i/>
              <w:iCs/>
              <w:color w:val="000000" w:themeColor="text1"/>
              <w:sz w:val="22"/>
              <w:szCs w:val="22"/>
            </w:rPr>
            <w:t>COMM.D.2</w:t>
          </w:r>
          <w:r>
            <w:rPr>
              <w:rFonts w:asciiTheme="minorHAnsi" w:hAnsiTheme="minorHAnsi"/>
              <w:color w:val="000000" w:themeColor="text1"/>
              <w:sz w:val="22"/>
              <w:szCs w:val="22"/>
            </w:rPr>
            <w:t xml:space="preserve"> veikto apstrādes darbību “Covid-19: ķermeņa temperatūras kontrole, ieejot Komisijas telpās Komisijas pārstāvniecībās” ir izklāstīta turpmāk. </w:t>
          </w:r>
        </w:p>
        <w:p w14:paraId="1978EEA7" w14:textId="0742D81B" w:rsidR="003F0510" w:rsidRPr="003F0510" w:rsidRDefault="00C73EA0" w:rsidP="00345344">
          <w:pPr>
            <w:keepNext/>
            <w:numPr>
              <w:ilvl w:val="0"/>
              <w:numId w:val="21"/>
            </w:numPr>
            <w:ind w:left="714" w:hanging="357"/>
            <w:rPr>
              <w:rFonts w:asciiTheme="minorHAnsi" w:eastAsia="Calibri" w:hAnsiTheme="minorHAnsi" w:cstheme="minorHAnsi"/>
              <w:b/>
              <w:bCs/>
              <w:sz w:val="22"/>
              <w:szCs w:val="22"/>
              <w:u w:val="single"/>
            </w:rPr>
          </w:pPr>
          <w:r>
            <w:rPr>
              <w:rFonts w:asciiTheme="minorHAnsi" w:hAnsiTheme="minorHAnsi"/>
              <w:b/>
              <w:bCs/>
              <w:sz w:val="22"/>
              <w:szCs w:val="22"/>
              <w:u w:val="single"/>
            </w:rPr>
            <w:t>Kāpēc un kā mēs persondatus apstrādājam?</w:t>
          </w:r>
          <w:r>
            <w:rPr>
              <w:rFonts w:asciiTheme="minorHAnsi" w:hAnsiTheme="minorHAnsi"/>
              <w:sz w:val="22"/>
              <w:szCs w:val="22"/>
            </w:rPr>
            <w:t xml:space="preserve"> </w:t>
          </w:r>
        </w:p>
        <w:p w14:paraId="5F472ACC" w14:textId="7B3E3275" w:rsidR="00CE4669" w:rsidRPr="00CE4669" w:rsidRDefault="003F0510" w:rsidP="00345344">
          <w:pPr>
            <w:spacing w:after="120"/>
            <w:rPr>
              <w:rFonts w:asciiTheme="minorHAnsi" w:eastAsia="Calibri" w:hAnsiTheme="minorHAnsi" w:cstheme="minorHAnsi"/>
              <w:sz w:val="22"/>
              <w:szCs w:val="22"/>
            </w:rPr>
          </w:pPr>
          <w:r>
            <w:rPr>
              <w:rFonts w:asciiTheme="minorHAnsi" w:hAnsiTheme="minorHAnsi"/>
              <w:sz w:val="22"/>
              <w:szCs w:val="22"/>
            </w:rPr>
            <w:t xml:space="preserve">Šīs procedūras mērķis ir novērst Covid-19 izplatīšanos un īstenot pret vīrusa izplatīšanos vērstos drošības protokolus saskaņā ar dalībvalstīs spēkā esošajiem tiesību aktiem. </w:t>
          </w:r>
        </w:p>
        <w:p w14:paraId="1230A86B" w14:textId="77777777" w:rsidR="00032B24" w:rsidRDefault="003F0510" w:rsidP="00345344">
          <w:pPr>
            <w:spacing w:after="120"/>
            <w:rPr>
              <w:rFonts w:asciiTheme="minorHAnsi" w:eastAsia="Calibri" w:hAnsiTheme="minorHAnsi" w:cstheme="minorHAnsi"/>
              <w:sz w:val="22"/>
              <w:szCs w:val="22"/>
            </w:rPr>
          </w:pPr>
          <w:r>
            <w:rPr>
              <w:rFonts w:asciiTheme="minorHAnsi" w:hAnsiTheme="minorHAnsi"/>
              <w:sz w:val="22"/>
              <w:szCs w:val="22"/>
            </w:rPr>
            <w:t xml:space="preserve">Ieejot Komisijas pārstāvniecību telpās dalībvalstīs (“Komisijas pārstāvniecības”), jūsu ķermeņa temperatūru pārbaudīs “temperatūras pārbaudes operatori” (TPO), kuri nav medicīnas darbinieki (piemēram, apsargi), bet kuri ir saņēmuši atbilstošu apmācību darbā ar automatizēto metodi un attiecīgo darbplūsmu. </w:t>
          </w:r>
        </w:p>
        <w:p w14:paraId="2EFAB4CD" w14:textId="725F05C5" w:rsidR="003F0510" w:rsidRPr="00CE4669" w:rsidRDefault="003F0510" w:rsidP="00345344">
          <w:pPr>
            <w:spacing w:after="120"/>
            <w:rPr>
              <w:rFonts w:asciiTheme="minorHAnsi" w:eastAsia="Calibri" w:hAnsiTheme="minorHAnsi" w:cstheme="minorHAnsi"/>
              <w:sz w:val="22"/>
              <w:szCs w:val="22"/>
            </w:rPr>
          </w:pPr>
          <w:r>
            <w:rPr>
              <w:rFonts w:asciiTheme="minorHAnsi" w:hAnsiTheme="minorHAnsi"/>
              <w:sz w:val="22"/>
              <w:szCs w:val="22"/>
            </w:rPr>
            <w:t xml:space="preserve">Temperatūras (t°) pārbaudi veic, izmantojot automātisku bezkontakta metodi ar bezkontakta infrasarkano termometru vai termisko attēlveidošanas sistēmu. Ja iespējams, temperatūru pārbauda tranzīta zonā pie ēkas galvenās ieejas (ēkas iekšpusē, bet pirms drošības pārbaudes vai pie tās). </w:t>
          </w:r>
        </w:p>
        <w:p w14:paraId="330432C9" w14:textId="0BDA841E" w:rsidR="00CE4669" w:rsidRPr="00CE4669" w:rsidRDefault="00CE4669" w:rsidP="00345344">
          <w:p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Temperatūras noteikšanas instruments (uz ekrāna, ko redz tikai TPO) diskrēti brīdina TPO, vai temperatūra ir “normāla” vai “augsta” (t. i., tā ir 37,7 °C vai augstāka par šo robežvērtību).</w:t>
          </w:r>
        </w:p>
        <w:p w14:paraId="3077DE1F" w14:textId="032F56C1" w:rsidR="00CE4669" w:rsidRPr="00695F0A" w:rsidRDefault="00CE4669" w:rsidP="00345344">
          <w:pPr>
            <w:pStyle w:val="ListParagraph"/>
            <w:numPr>
              <w:ilvl w:val="0"/>
              <w:numId w:val="29"/>
            </w:num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Ja temperatūra ir “normāla” (≤ 37,6 °C): piemēro parasto drošības kontroles procedūru, un telpās varēsiet ieiet, kā parasti.</w:t>
          </w:r>
        </w:p>
        <w:p w14:paraId="33BCFC7F" w14:textId="3CE7BFED" w:rsidR="00CE4669" w:rsidRPr="00345344" w:rsidRDefault="00CE4669" w:rsidP="00345344">
          <w:pPr>
            <w:pStyle w:val="ListParagraph"/>
            <w:numPr>
              <w:ilvl w:val="0"/>
              <w:numId w:val="29"/>
            </w:num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Ja temperatūra ir “augsta” (≥ 37,7 °C vai saskaņā ar valsts ieteikumiem): temperatūras pārbaude jāatkārto vēl vienu reizi.</w:t>
          </w:r>
        </w:p>
        <w:p w14:paraId="58433567" w14:textId="2D7BFDA9" w:rsidR="00CE4669" w:rsidRDefault="00CE4669" w:rsidP="00345344">
          <w:p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Ēkas iekšienē jums būs jāuzgaida 10 minūtes (ar uzliktu sejas masku un ievērojot fizisku distancēšanos (&gt; 1,5 m)).</w:t>
          </w:r>
        </w:p>
        <w:p w14:paraId="1BF6EBB7" w14:textId="0E7142AB" w:rsidR="00345344" w:rsidRPr="00CE4669" w:rsidRDefault="00CE4669" w:rsidP="00345344">
          <w:p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10 minūtes pēc sākotnējā mērījuma temperatūra tiks izmērīta vēlreiz (ar to pašu termiskās skenēšanas metodi).</w:t>
          </w:r>
        </w:p>
        <w:p w14:paraId="4F1B5AFD" w14:textId="5772E632" w:rsidR="00CE4669" w:rsidRPr="00695F0A" w:rsidRDefault="00CE4669" w:rsidP="00345344">
          <w:pPr>
            <w:pStyle w:val="ListParagraph"/>
            <w:numPr>
              <w:ilvl w:val="0"/>
              <w:numId w:val="30"/>
            </w:num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Ja temperatūra ir normāla (≤ 37,6 °C): piemēro parasto drošības kontroles procedūru, un telpās varēsiet ieiet, kā parasti.</w:t>
          </w:r>
        </w:p>
        <w:p w14:paraId="4144EBF8" w14:textId="630E3F52" w:rsidR="00CE4669" w:rsidRPr="00345344" w:rsidRDefault="00CE4669" w:rsidP="00345344">
          <w:pPr>
            <w:pStyle w:val="ListParagraph"/>
            <w:numPr>
              <w:ilvl w:val="0"/>
              <w:numId w:val="30"/>
            </w:num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Ja temperatūra ir “augsta” (≥ 37,7 °C vai saskaņā ar valsts ieteikumiem): šajā dienā jūs telpās ieiet nedrīkstēsiet.</w:t>
          </w:r>
        </w:p>
        <w:p w14:paraId="0FCB4981" w14:textId="187EA50C" w:rsidR="00032B24" w:rsidRPr="00032B24" w:rsidRDefault="008F2073" w:rsidP="00345344">
          <w:p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 xml:space="preserve">Ja apmeklētājam/līgumslēdzējam konstatē “augstu” ķermeņa temperatūru, par neielaišanu ēkā TPO piedāvās informēt attiecīgo Komisijas darbinieku. Attiecīgais Komisijas darbinieks tiek informēts vienīgi ar apmeklētāja/līgumslēdzēja skaidri paustu piekrišanu. Datu subjekta un Komisijas darbinieka vārdu un uzvārdu var izmantot tikai informatīvos nolūkos. Persondati netiks ne reģistrēti, ne pārsūtīti, ne uzglabāti. </w:t>
          </w:r>
        </w:p>
        <w:p w14:paraId="2AA1660D" w14:textId="7EA1E696" w:rsidR="00CE4669" w:rsidRPr="00345344" w:rsidRDefault="00032B24" w:rsidP="00345344">
          <w:pPr>
            <w:spacing w:after="120"/>
            <w:rPr>
              <w:rFonts w:asciiTheme="minorHAnsi" w:eastAsia="Cambria" w:hAnsiTheme="minorHAnsi" w:cstheme="minorHAnsi"/>
              <w:i/>
              <w:color w:val="000000" w:themeColor="text1"/>
              <w:sz w:val="22"/>
              <w:szCs w:val="22"/>
            </w:rPr>
          </w:pPr>
          <w:r>
            <w:rPr>
              <w:rFonts w:asciiTheme="minorHAnsi" w:hAnsiTheme="minorHAnsi"/>
              <w:color w:val="000000" w:themeColor="text1"/>
              <w:sz w:val="22"/>
              <w:szCs w:val="22"/>
            </w:rPr>
            <w:t>Neielaišanas gadījumā var izsniegt nepersonalizētu standarta izziņu par atteikumu ielaist ēkā. Apliecinājumā ir minēts tikai datums un ēka, kurā liegta iekļuve, un tajā nav persondatu, pēc kuriem var identificēt fizisku personu.</w:t>
          </w:r>
        </w:p>
        <w:p w14:paraId="796B2D65" w14:textId="740D9326" w:rsidR="00700C3D" w:rsidRPr="00345344" w:rsidRDefault="00EF16FE" w:rsidP="00345344">
          <w:pPr>
            <w:autoSpaceDE w:val="0"/>
            <w:autoSpaceDN w:val="0"/>
            <w:adjustRightInd w:val="0"/>
            <w:jc w:val="center"/>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lastRenderedPageBreak/>
            <w:t xml:space="preserve">Jūsu persondati </w:t>
          </w:r>
          <w:r>
            <w:rPr>
              <w:rFonts w:asciiTheme="minorHAnsi" w:hAnsiTheme="minorHAnsi"/>
              <w:color w:val="000000" w:themeColor="text1"/>
              <w:sz w:val="22"/>
              <w:szCs w:val="22"/>
              <w:u w:val="single"/>
            </w:rPr>
            <w:t>netiks</w:t>
          </w:r>
          <w:r>
            <w:rPr>
              <w:rFonts w:asciiTheme="minorHAnsi" w:hAnsiTheme="minorHAnsi"/>
              <w:color w:val="000000" w:themeColor="text1"/>
              <w:sz w:val="22"/>
              <w:szCs w:val="22"/>
            </w:rPr>
            <w:t xml:space="preserve"> izmantoti automatizētai lēmumu pieņemšanai, piemēram, profilēšanai.</w:t>
          </w:r>
        </w:p>
        <w:p w14:paraId="1FB965B8" w14:textId="77777777" w:rsidR="00C73EA0" w:rsidRPr="004B23D6" w:rsidRDefault="00C73EA0" w:rsidP="00345344">
          <w:pPr>
            <w:numPr>
              <w:ilvl w:val="0"/>
              <w:numId w:val="21"/>
            </w:numPr>
            <w:rPr>
              <w:rFonts w:asciiTheme="minorHAnsi" w:eastAsia="Calibri" w:hAnsiTheme="minorHAnsi" w:cstheme="minorHAnsi"/>
              <w:b/>
              <w:sz w:val="22"/>
              <w:szCs w:val="22"/>
              <w:u w:val="single"/>
            </w:rPr>
          </w:pPr>
          <w:r>
            <w:rPr>
              <w:rFonts w:asciiTheme="minorHAnsi" w:hAnsiTheme="minorHAnsi"/>
              <w:b/>
              <w:sz w:val="22"/>
              <w:szCs w:val="22"/>
              <w:u w:val="single"/>
            </w:rPr>
            <w:t>Kāds ir jūsu persondatu apstrādes juridiskais pamats?</w:t>
          </w:r>
        </w:p>
        <w:p w14:paraId="55603CF2" w14:textId="39EFADDB" w:rsidR="0003210D" w:rsidRPr="00CE4669" w:rsidRDefault="0003210D" w:rsidP="00345344">
          <w:p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Mēs veicam šo darbību, pamatojoties uz:</w:t>
          </w:r>
        </w:p>
        <w:p w14:paraId="29F09333" w14:textId="2984C229" w:rsidR="007E2448" w:rsidRDefault="006209D3"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 xml:space="preserve">Eiropas Savienības Civildienesta noteikumu 1.e panta 2. punktu; </w:t>
          </w:r>
        </w:p>
        <w:p w14:paraId="7CC15ECE" w14:textId="65197057" w:rsidR="00CE4669" w:rsidRPr="006209D3" w:rsidRDefault="006209D3"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Eiropas Savienības Pārējo darbinieku nodarbināšanas kārtības 10. panta 1. punktu un 80. panta 4. punktu;</w:t>
          </w:r>
        </w:p>
        <w:p w14:paraId="6E9F38D2" w14:textId="5EF5B2B7" w:rsidR="00CE4669" w:rsidRPr="00CE4669" w:rsidRDefault="004B509A"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3. panta 1. punkta d) apakšpunktu Komisijas 2006. gada 26. aprīļa Lēmumā C(2006)1623/3, ar ko izveido saskaņotu politiku attiecībā uz visu Komisijas darbinieku drošību un veselības aizsardzību darbā;</w:t>
          </w:r>
        </w:p>
        <w:p w14:paraId="08E099CB" w14:textId="06340D8E" w:rsidR="000A7C6F" w:rsidRDefault="000A7C6F"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Komunikācijas ģenerāldirektora lēmumu par pilnvaru tālāku deleģēšanu veselības aizsardzības un drošības pasākumu īstenošanai un to kontroles un revīzijas nodrošināšanai (Ares(2012)1524661);</w:t>
          </w:r>
        </w:p>
        <w:p w14:paraId="789333B0" w14:textId="5307AE74" w:rsidR="009244D4" w:rsidRDefault="009244D4"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i/>
              <w:iCs/>
              <w:color w:val="000000" w:themeColor="text1"/>
              <w:sz w:val="22"/>
              <w:szCs w:val="22"/>
            </w:rPr>
            <w:t>COMM</w:t>
          </w:r>
          <w:r>
            <w:rPr>
              <w:rFonts w:asciiTheme="minorHAnsi" w:hAnsiTheme="minorHAnsi"/>
              <w:color w:val="000000" w:themeColor="text1"/>
              <w:sz w:val="22"/>
              <w:szCs w:val="22"/>
            </w:rPr>
            <w:t xml:space="preserve"> ĢD ģenerāldirektora 2020. gada 9. oktobra Lēmumu par veselības un drošības pasākumiem pārstāvniecībās (Ares(2020)5390428);</w:t>
          </w:r>
        </w:p>
        <w:p w14:paraId="6BBFAD4F" w14:textId="26ED4794" w:rsidR="0027453C" w:rsidRPr="0027453C" w:rsidRDefault="0027453C" w:rsidP="00345344">
          <w:pPr>
            <w:pStyle w:val="ListParagraph"/>
            <w:numPr>
              <w:ilvl w:val="0"/>
              <w:numId w:val="27"/>
            </w:num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īpašu kategoriju datu apstrādi, pamatojoties uz Regulas (ES) 2018/1725 10. panta 2. punkta g) un i) apakšpunktu.</w:t>
          </w:r>
        </w:p>
        <w:p w14:paraId="2A0234CE" w14:textId="13859FB0" w:rsidR="00771330" w:rsidRPr="00771330" w:rsidRDefault="00771330" w:rsidP="00345344">
          <w:p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Mēs apstrādājam īpašas persondatu kategorijas (veselības datus), kas norādītas 4. iedaļā, jo:</w:t>
          </w:r>
        </w:p>
        <w:p w14:paraId="5D2549E2" w14:textId="5FD18CC1" w:rsidR="00771330" w:rsidRPr="00771330" w:rsidRDefault="00771330" w:rsidP="00345344">
          <w:pPr>
            <w:spacing w:after="120"/>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a) apstrāde ir vajadzīga būtisku sabiedrības interešu dēļ, pamatojoties uz Savienības tiesību aktiem, kas ir samērīgas izvirzītajam mērķim, ievēro tiesību uz datu aizsardzību būtību un paredz piemērotus un konkrētus pasākumus datu subjekta pamattiesību un interešu aizsardzībai;</w:t>
          </w:r>
        </w:p>
        <w:p w14:paraId="57AFFF84" w14:textId="6C43D847" w:rsidR="00771330" w:rsidRPr="00771330" w:rsidRDefault="0027453C" w:rsidP="00345344">
          <w:pPr>
            <w:rPr>
              <w:rFonts w:asciiTheme="minorHAnsi" w:eastAsia="Calibri" w:hAnsiTheme="minorHAnsi" w:cstheme="minorHAnsi"/>
              <w:color w:val="000000" w:themeColor="text1"/>
              <w:sz w:val="22"/>
              <w:szCs w:val="22"/>
            </w:rPr>
          </w:pPr>
          <w:r>
            <w:rPr>
              <w:rFonts w:asciiTheme="minorHAnsi" w:hAnsiTheme="minorHAnsi"/>
              <w:color w:val="000000" w:themeColor="text1"/>
              <w:sz w:val="22"/>
              <w:szCs w:val="22"/>
            </w:rPr>
            <w:t xml:space="preserve">b) apstrāde ir vajadzīga sabiedrības interešu dēļ sabiedrības veselības jomā, piemēram, aizsardzībai pret nopietniem pārrobežu draudiem veselībai vai augstu kvalitātes un drošības standartu nodrošināšanai, cita starpā zālēm vai medicīniskām ierīcēm, pamatojoties uz Savienības tiesību aktiem, kas paredz atbilstošus un konkrētus pasākumus datu subjekta tiesību un brīvību, jo īpaši dienesta noslēpuma, aizsardzībai. </w:t>
          </w:r>
        </w:p>
        <w:p w14:paraId="1C3B2E4E" w14:textId="77777777" w:rsidR="00C73EA0" w:rsidRPr="004B23D6" w:rsidRDefault="00C73EA0" w:rsidP="00345344">
          <w:pPr>
            <w:keepNext/>
            <w:numPr>
              <w:ilvl w:val="0"/>
              <w:numId w:val="21"/>
            </w:numPr>
            <w:ind w:left="714" w:hanging="357"/>
            <w:rPr>
              <w:rFonts w:asciiTheme="minorHAnsi" w:eastAsia="Calibri" w:hAnsiTheme="minorHAnsi" w:cstheme="minorHAnsi"/>
              <w:b/>
              <w:sz w:val="22"/>
              <w:szCs w:val="22"/>
              <w:u w:val="single"/>
            </w:rPr>
          </w:pPr>
          <w:r>
            <w:rPr>
              <w:rFonts w:asciiTheme="minorHAnsi" w:hAnsiTheme="minorHAnsi"/>
              <w:b/>
              <w:bCs/>
              <w:sz w:val="22"/>
              <w:szCs w:val="22"/>
              <w:u w:val="single"/>
            </w:rPr>
            <w:t>Kādus persondatus mēs vācam un apstrādājam tālāk?</w:t>
          </w:r>
          <w:r>
            <w:rPr>
              <w:rFonts w:asciiTheme="minorHAnsi" w:hAnsiTheme="minorHAnsi"/>
              <w:i/>
              <w:sz w:val="22"/>
              <w:szCs w:val="22"/>
            </w:rPr>
            <w:t xml:space="preserve"> </w:t>
          </w:r>
        </w:p>
        <w:p w14:paraId="709D7009" w14:textId="2CCE80F0" w:rsidR="00CE4669" w:rsidRPr="00345344" w:rsidRDefault="00032B24" w:rsidP="00345344">
          <w:pPr>
            <w:rPr>
              <w:rFonts w:asciiTheme="minorHAnsi" w:hAnsiTheme="minorHAnsi" w:cstheme="minorHAnsi"/>
              <w:sz w:val="22"/>
              <w:szCs w:val="22"/>
            </w:rPr>
          </w:pPr>
          <w:r>
            <w:rPr>
              <w:rFonts w:asciiTheme="minorHAnsi" w:hAnsiTheme="minorHAnsi"/>
              <w:sz w:val="22"/>
              <w:szCs w:val="22"/>
            </w:rPr>
            <w:t>Ķermeņa temperatūru mēra vienīgi tāpēc, lai ielaistu vai neielaistu Komisijas pārstāvniecību telpās dalībvalstīs un lai novērstu inficēšanos ar Covid-19.</w:t>
          </w:r>
        </w:p>
        <w:p w14:paraId="42A91F56" w14:textId="77777777" w:rsidR="00C73EA0" w:rsidRPr="00CE4669" w:rsidRDefault="00C73EA0" w:rsidP="00345344">
          <w:pPr>
            <w:numPr>
              <w:ilvl w:val="0"/>
              <w:numId w:val="21"/>
            </w:numPr>
            <w:rPr>
              <w:rFonts w:asciiTheme="minorHAnsi" w:eastAsia="Calibri" w:hAnsiTheme="minorHAnsi" w:cstheme="minorHAnsi"/>
              <w:b/>
              <w:color w:val="000000" w:themeColor="text1"/>
              <w:sz w:val="22"/>
              <w:szCs w:val="22"/>
              <w:u w:val="single"/>
            </w:rPr>
          </w:pPr>
          <w:r>
            <w:rPr>
              <w:rFonts w:asciiTheme="minorHAnsi" w:hAnsiTheme="minorHAnsi"/>
              <w:b/>
              <w:color w:val="000000" w:themeColor="text1"/>
              <w:sz w:val="22"/>
              <w:szCs w:val="22"/>
              <w:u w:val="single"/>
            </w:rPr>
            <w:t>Cik ilgi mēs glabājam jūsu persondatus?</w:t>
          </w:r>
        </w:p>
        <w:p w14:paraId="1B997AFB" w14:textId="78305653" w:rsidR="00C73EA0" w:rsidRPr="00CE4669" w:rsidRDefault="00032B24" w:rsidP="00345344">
          <w:pPr>
            <w:rPr>
              <w:rFonts w:asciiTheme="minorHAnsi" w:eastAsia="Calibri" w:hAnsiTheme="minorHAnsi" w:cstheme="minorHAnsi"/>
              <w:b/>
              <w:color w:val="000000" w:themeColor="text1"/>
              <w:sz w:val="22"/>
              <w:szCs w:val="22"/>
            </w:rPr>
          </w:pPr>
          <w:r>
            <w:rPr>
              <w:rFonts w:asciiTheme="minorHAnsi" w:hAnsiTheme="minorHAnsi"/>
              <w:color w:val="000000" w:themeColor="text1"/>
              <w:sz w:val="22"/>
              <w:szCs w:val="22"/>
            </w:rPr>
            <w:t>Datu pārzinis jūsu persondatus neglabā. Temperatūras rādījums tiek automātiski izdzēsts no temperatūras noteikšanas instrumenta dažas sekundes pēc tam, kad tas parādās instrumenta ekrānā.</w:t>
          </w:r>
        </w:p>
        <w:p w14:paraId="6A0FB47D" w14:textId="77777777" w:rsidR="00C73EA0" w:rsidRPr="004B23D6" w:rsidRDefault="00C73EA0" w:rsidP="00345344">
          <w:pPr>
            <w:numPr>
              <w:ilvl w:val="0"/>
              <w:numId w:val="21"/>
            </w:numPr>
            <w:rPr>
              <w:rFonts w:asciiTheme="minorHAnsi" w:eastAsia="Calibri" w:hAnsiTheme="minorHAnsi" w:cstheme="minorHAnsi"/>
              <w:b/>
              <w:sz w:val="22"/>
              <w:szCs w:val="22"/>
              <w:u w:val="single"/>
            </w:rPr>
          </w:pPr>
          <w:r>
            <w:rPr>
              <w:rFonts w:asciiTheme="minorHAnsi" w:hAnsiTheme="minorHAnsi"/>
              <w:b/>
              <w:sz w:val="22"/>
              <w:szCs w:val="22"/>
              <w:u w:val="single"/>
            </w:rPr>
            <w:t>Kā mēs aizsargājam jūsu persondatus?</w:t>
          </w:r>
        </w:p>
        <w:p w14:paraId="2DCD013C" w14:textId="47103BE6" w:rsidR="00C73EA0" w:rsidRPr="004B23D6" w:rsidRDefault="00771330" w:rsidP="00345344">
          <w:pPr>
            <w:rPr>
              <w:rFonts w:asciiTheme="minorHAnsi" w:eastAsia="Calibri" w:hAnsiTheme="minorHAnsi" w:cstheme="minorHAnsi"/>
              <w:sz w:val="22"/>
              <w:szCs w:val="22"/>
            </w:rPr>
          </w:pPr>
          <w:r>
            <w:rPr>
              <w:rFonts w:asciiTheme="minorHAnsi" w:hAnsiTheme="minorHAnsi"/>
              <w:sz w:val="22"/>
              <w:szCs w:val="22"/>
            </w:rPr>
            <w:t>Persondati netiek glabāti ierīcē vai citā datu nesējā. Lai aizsargātu jūsu persondatus, Komisija ir ieviesusi vairākus tehniskus un organizatoriskus pasākumus. Tehniskie pasākumi ietver piemērotas darbības, kas vērstas uz drošību un novērš tādus riskus kā datu zudumi, to grozīšana vai neatļauta piekļuve datiem, ņemot vērā risku, kas saistīts ar datu apstrādi, un apstrādāto persondatu dabu. Organizatoriskie pasākumi ietver piekļuves ierobežošanu, proti, šīs apstrādes darbības ietvaros piekļuve persondatiem tiek dota tikai pilnvarotām personām, kam ir pamatota vajadzība tos zināt (TPO).</w:t>
          </w:r>
        </w:p>
        <w:p w14:paraId="2CB5335D" w14:textId="77777777" w:rsidR="00C73EA0" w:rsidRPr="004B23D6" w:rsidRDefault="00C73EA0" w:rsidP="00345344">
          <w:pPr>
            <w:numPr>
              <w:ilvl w:val="0"/>
              <w:numId w:val="21"/>
            </w:numPr>
            <w:rPr>
              <w:rFonts w:asciiTheme="minorHAnsi" w:eastAsia="Calibri" w:hAnsiTheme="minorHAnsi" w:cstheme="minorHAnsi"/>
              <w:b/>
              <w:sz w:val="22"/>
              <w:szCs w:val="22"/>
              <w:u w:val="single"/>
            </w:rPr>
          </w:pPr>
          <w:r>
            <w:rPr>
              <w:rFonts w:asciiTheme="minorHAnsi" w:hAnsiTheme="minorHAnsi"/>
              <w:b/>
              <w:bCs/>
              <w:sz w:val="22"/>
              <w:szCs w:val="22"/>
              <w:u w:val="single"/>
            </w:rPr>
            <w:t>Kam ir pieejami jūsu persondati un kam tos izpauž?</w:t>
          </w:r>
        </w:p>
        <w:p w14:paraId="1F3B35E0" w14:textId="218F27CF" w:rsidR="00C73EA0" w:rsidRPr="00345344" w:rsidRDefault="00C73EA0" w:rsidP="00345344">
          <w:pPr>
            <w:rPr>
              <w:rFonts w:asciiTheme="minorHAnsi" w:eastAsia="Calibri" w:hAnsiTheme="minorHAnsi" w:cstheme="minorHAnsi"/>
              <w:bCs/>
              <w:sz w:val="22"/>
              <w:szCs w:val="22"/>
            </w:rPr>
          </w:pPr>
          <w:r>
            <w:rPr>
              <w:rFonts w:asciiTheme="minorHAnsi" w:hAnsiTheme="minorHAnsi"/>
              <w:sz w:val="22"/>
              <w:szCs w:val="22"/>
            </w:rPr>
            <w:lastRenderedPageBreak/>
            <w:t>Temperatūras rādījumi ir pieejami temperatūras pārbaudes operatoriem (TPO), t. i., darbiniekiem, kuri nav medicīnas darbinieki (piemēram, apsargi), bet kuri ir saņēmuši atbilstošu apmācību darbā ar šo metodi un attiecīgo darbplūsmu.</w:t>
          </w:r>
          <w:r>
            <w:rPr>
              <w:rFonts w:asciiTheme="minorHAnsi" w:hAnsiTheme="minorHAnsi"/>
              <w:bCs/>
              <w:sz w:val="22"/>
              <w:szCs w:val="22"/>
            </w:rPr>
            <w:t xml:space="preserve"> Šie darbinieki ievēro tiesību aktus un vajadzības gadījumā papildu noteikumus par konfidencialitāti. </w:t>
          </w:r>
          <w:r>
            <w:rPr>
              <w:rFonts w:asciiTheme="minorHAnsi" w:hAnsiTheme="minorHAnsi"/>
              <w:color w:val="000000" w:themeColor="text1"/>
              <w:sz w:val="22"/>
              <w:szCs w:val="22"/>
            </w:rPr>
            <w:t>Savāktā informācija netiks sniegta nevienai trešai personai.</w:t>
          </w:r>
        </w:p>
        <w:p w14:paraId="24213AC9" w14:textId="31960ACA" w:rsidR="00C73EA0" w:rsidRPr="00CE4669" w:rsidRDefault="00C73EA0" w:rsidP="00345344">
          <w:pPr>
            <w:numPr>
              <w:ilvl w:val="0"/>
              <w:numId w:val="21"/>
            </w:numPr>
            <w:rPr>
              <w:rFonts w:asciiTheme="minorHAnsi" w:eastAsia="Calibri" w:hAnsiTheme="minorHAnsi" w:cstheme="minorHAnsi"/>
              <w:b/>
              <w:sz w:val="22"/>
              <w:szCs w:val="22"/>
              <w:u w:val="single"/>
            </w:rPr>
          </w:pPr>
          <w:r>
            <w:rPr>
              <w:rFonts w:asciiTheme="minorHAnsi" w:hAnsiTheme="minorHAnsi"/>
              <w:b/>
              <w:sz w:val="22"/>
              <w:szCs w:val="22"/>
              <w:u w:val="single"/>
            </w:rPr>
            <w:t xml:space="preserve">Kādas ir jūsu tiesības un kā jūs tās varat īstenot? </w:t>
          </w:r>
        </w:p>
        <w:p w14:paraId="51F62868" w14:textId="05034AF7" w:rsidR="00CE4669" w:rsidRPr="00345344" w:rsidRDefault="00CE4669" w:rsidP="00345344">
          <w:pPr>
            <w:spacing w:after="120"/>
            <w:rPr>
              <w:rFonts w:asciiTheme="minorHAnsi" w:eastAsia="Cambria" w:hAnsiTheme="minorHAnsi" w:cstheme="minorHAnsi"/>
              <w:color w:val="000000" w:themeColor="text1"/>
              <w:sz w:val="22"/>
              <w:szCs w:val="22"/>
            </w:rPr>
          </w:pPr>
          <w:r>
            <w:rPr>
              <w:rFonts w:asciiTheme="minorHAnsi" w:hAnsiTheme="minorHAnsi"/>
              <w:color w:val="000000" w:themeColor="text1"/>
              <w:sz w:val="22"/>
              <w:szCs w:val="22"/>
            </w:rPr>
            <w:t xml:space="preserve">Jāņem vērā, ka TPO pieņem </w:t>
          </w:r>
          <w:r>
            <w:rPr>
              <w:rFonts w:asciiTheme="minorHAnsi" w:hAnsiTheme="minorHAnsi"/>
              <w:color w:val="000000" w:themeColor="text1"/>
              <w:sz w:val="22"/>
              <w:szCs w:val="22"/>
              <w:u w:val="single"/>
            </w:rPr>
            <w:t>GALĪGO</w:t>
          </w:r>
          <w:r>
            <w:rPr>
              <w:rFonts w:asciiTheme="minorHAnsi" w:hAnsiTheme="minorHAnsi"/>
              <w:color w:val="000000" w:themeColor="text1"/>
              <w:sz w:val="22"/>
              <w:szCs w:val="22"/>
            </w:rPr>
            <w:t xml:space="preserve"> lēmumu, un netiek veikta nekāda turpmāka izvērtēšana vai novērtēšana. Jūsu vārds un uzvārds vai jebkādi citi persondati vai medicīniskie dati NETIEK reģistrēti, NETIEK saglabāti un NETIEK nosūtīti medicīnas dienestam.</w:t>
          </w:r>
        </w:p>
        <w:p w14:paraId="6E561091" w14:textId="49DE093B" w:rsidR="00C73EA0" w:rsidRPr="004B23D6" w:rsidRDefault="00C73EA0" w:rsidP="00345344">
          <w:pPr>
            <w:autoSpaceDE w:val="0"/>
            <w:autoSpaceDN w:val="0"/>
            <w:adjustRightInd w:val="0"/>
            <w:spacing w:after="120"/>
            <w:rPr>
              <w:rFonts w:asciiTheme="minorHAnsi" w:eastAsia="Calibri" w:hAnsiTheme="minorHAnsi" w:cstheme="minorHAnsi"/>
              <w:sz w:val="22"/>
              <w:szCs w:val="22"/>
            </w:rPr>
          </w:pPr>
          <w:r>
            <w:rPr>
              <w:rFonts w:asciiTheme="minorHAnsi" w:hAnsiTheme="minorHAnsi"/>
              <w:sz w:val="22"/>
              <w:szCs w:val="22"/>
            </w:rPr>
            <w:t xml:space="preserve">Varat sazināties ar attiecīgās pārstāvniecības struktūrvienību vai – konflikta gadījumā – ar datu aizsardzības speciālistu. Vajadzības gadījumā varat vērsties pie Eiropas Datu aizsardzības uzraudzītāja. Kontaktinformācija ir sniegta 9. punktā. </w:t>
          </w:r>
        </w:p>
        <w:p w14:paraId="76C66E54" w14:textId="7D5DE09A" w:rsidR="00C73EA0" w:rsidRPr="004B23D6" w:rsidRDefault="00C73EA0" w:rsidP="00345344">
          <w:pPr>
            <w:autoSpaceDE w:val="0"/>
            <w:autoSpaceDN w:val="0"/>
            <w:adjustRightInd w:val="0"/>
            <w:rPr>
              <w:rFonts w:asciiTheme="minorHAnsi" w:eastAsia="Calibri" w:hAnsiTheme="minorHAnsi" w:cstheme="minorHAnsi"/>
              <w:sz w:val="22"/>
              <w:szCs w:val="22"/>
            </w:rPr>
          </w:pPr>
          <w:r>
            <w:rPr>
              <w:rFonts w:asciiTheme="minorHAnsi" w:hAnsiTheme="minorHAnsi"/>
              <w:sz w:val="22"/>
              <w:szCs w:val="22"/>
            </w:rPr>
            <w:t>Ja vēlaties izmantot savas tiesības saistībā ar vienu vai vairākām konkrētām apstrādes darbībām, aprakstiet tās pieprasījumā (proti, miniet 10. punktā norādīto atsauces numuru(-s)).</w:t>
          </w:r>
        </w:p>
        <w:p w14:paraId="35837CD6" w14:textId="77777777" w:rsidR="00C73EA0" w:rsidRPr="004B23D6" w:rsidRDefault="00C73EA0" w:rsidP="00345344">
          <w:pPr>
            <w:keepNext/>
            <w:numPr>
              <w:ilvl w:val="0"/>
              <w:numId w:val="21"/>
            </w:numPr>
            <w:rPr>
              <w:rFonts w:asciiTheme="minorHAnsi" w:eastAsia="Calibri" w:hAnsiTheme="minorHAnsi" w:cstheme="minorHAnsi"/>
              <w:b/>
              <w:sz w:val="22"/>
              <w:szCs w:val="22"/>
              <w:u w:val="single"/>
            </w:rPr>
          </w:pPr>
          <w:r>
            <w:rPr>
              <w:rFonts w:asciiTheme="minorHAnsi" w:hAnsiTheme="minorHAnsi"/>
              <w:b/>
              <w:sz w:val="22"/>
              <w:szCs w:val="22"/>
              <w:u w:val="single"/>
            </w:rPr>
            <w:t>Kontaktinformācija</w:t>
          </w:r>
        </w:p>
        <w:p w14:paraId="1058DC03" w14:textId="77777777" w:rsidR="00B80D9C" w:rsidRPr="004B23D6" w:rsidRDefault="00B80D9C" w:rsidP="00345344">
          <w:pPr>
            <w:pStyle w:val="ListParagraph"/>
            <w:keepNext/>
            <w:widowControl w:val="0"/>
            <w:numPr>
              <w:ilvl w:val="0"/>
              <w:numId w:val="22"/>
            </w:numPr>
            <w:spacing w:after="120"/>
            <w:rPr>
              <w:rFonts w:asciiTheme="minorHAnsi" w:eastAsia="Calibri" w:hAnsiTheme="minorHAnsi" w:cstheme="minorHAnsi"/>
              <w:sz w:val="22"/>
              <w:szCs w:val="22"/>
            </w:rPr>
          </w:pPr>
          <w:r>
            <w:rPr>
              <w:rFonts w:asciiTheme="minorHAnsi" w:hAnsiTheme="minorHAnsi"/>
              <w:b/>
              <w:sz w:val="22"/>
              <w:szCs w:val="22"/>
            </w:rPr>
            <w:t>Datu pārzinis</w:t>
          </w:r>
        </w:p>
        <w:p w14:paraId="3BFD1065" w14:textId="70C23CC1" w:rsidR="00C73EA0" w:rsidRPr="007B5922" w:rsidRDefault="00CE4669" w:rsidP="00345344">
          <w:pPr>
            <w:widowControl w:val="0"/>
            <w:spacing w:after="120"/>
            <w:rPr>
              <w:rFonts w:asciiTheme="minorHAnsi" w:eastAsia="Calibri" w:hAnsiTheme="minorHAnsi" w:cstheme="minorHAnsi"/>
              <w:sz w:val="22"/>
              <w:szCs w:val="22"/>
            </w:rPr>
          </w:pPr>
          <w:r w:rsidRPr="007B5922">
            <w:rPr>
              <w:rFonts w:asciiTheme="minorHAnsi" w:hAnsiTheme="minorHAnsi" w:cstheme="minorHAnsi"/>
              <w:sz w:val="22"/>
              <w:szCs w:val="22"/>
            </w:rPr>
            <w:t xml:space="preserve">Ja jums ir piezīmes, jautājumi vai bažas, lūdzam sazināties ar </w:t>
          </w:r>
          <w:r w:rsidRPr="007B5922">
            <w:rPr>
              <w:rFonts w:asciiTheme="minorHAnsi" w:hAnsiTheme="minorHAnsi" w:cstheme="minorHAnsi"/>
              <w:i/>
              <w:iCs/>
              <w:sz w:val="22"/>
              <w:szCs w:val="22"/>
            </w:rPr>
            <w:t>COMM</w:t>
          </w:r>
          <w:r w:rsidRPr="007B5922">
            <w:rPr>
              <w:rFonts w:asciiTheme="minorHAnsi" w:hAnsiTheme="minorHAnsi" w:cstheme="minorHAnsi"/>
              <w:sz w:val="22"/>
              <w:szCs w:val="22"/>
            </w:rPr>
            <w:t xml:space="preserve"> ĢD datu pārzini (</w:t>
          </w:r>
          <w:hyperlink r:id="rId15" w:history="1">
            <w:r w:rsidRPr="007B5922">
              <w:rPr>
                <w:rStyle w:val="Hyperlink"/>
                <w:rFonts w:asciiTheme="minorHAnsi" w:hAnsiTheme="minorHAnsi" w:cstheme="minorHAnsi"/>
                <w:sz w:val="22"/>
                <w:szCs w:val="22"/>
              </w:rPr>
              <w:t>COMM-DATA-PROTECTION-COORDINATOR@ec.europa.eu</w:t>
            </w:r>
          </w:hyperlink>
          <w:r w:rsidRPr="007B5922">
            <w:rPr>
              <w:rStyle w:val="Hyperlink"/>
              <w:rFonts w:asciiTheme="minorHAnsi" w:hAnsiTheme="minorHAnsi" w:cstheme="minorHAnsi"/>
              <w:sz w:val="22"/>
              <w:szCs w:val="22"/>
            </w:rPr>
            <w:t>)</w:t>
          </w:r>
          <w:r w:rsidRPr="007B5922">
            <w:rPr>
              <w:rFonts w:asciiTheme="minorHAnsi" w:hAnsiTheme="minorHAnsi" w:cstheme="minorHAnsi"/>
              <w:color w:val="000000" w:themeColor="text1"/>
              <w:sz w:val="22"/>
              <w:szCs w:val="22"/>
            </w:rPr>
            <w:t xml:space="preserve"> vai pārstāvniecību (</w:t>
          </w:r>
          <w:r w:rsidR="008702E4" w:rsidRPr="008702E4">
            <w:rPr>
              <w:rFonts w:asciiTheme="minorHAnsi" w:hAnsiTheme="minorHAnsi" w:cstheme="minorHAnsi"/>
              <w:color w:val="000000" w:themeColor="text1"/>
              <w:sz w:val="22"/>
              <w:szCs w:val="22"/>
            </w:rPr>
            <w:t>COMM-REP-LATVIA@ec.europa.eu</w:t>
          </w:r>
          <w:r w:rsidRPr="007B5922">
            <w:rPr>
              <w:rFonts w:asciiTheme="minorHAnsi" w:hAnsiTheme="minorHAnsi" w:cstheme="minorHAnsi"/>
              <w:color w:val="000000" w:themeColor="text1"/>
              <w:sz w:val="22"/>
              <w:szCs w:val="22"/>
            </w:rPr>
            <w:t>)</w:t>
          </w:r>
          <w:r w:rsidRPr="007B5922">
            <w:rPr>
              <w:rFonts w:asciiTheme="minorHAnsi" w:hAnsiTheme="minorHAnsi" w:cstheme="minorHAnsi"/>
              <w:sz w:val="22"/>
              <w:szCs w:val="22"/>
            </w:rPr>
            <w:t>.</w:t>
          </w:r>
        </w:p>
        <w:p w14:paraId="766ABA18" w14:textId="77777777" w:rsidR="00B80D9C" w:rsidRPr="004B23D6" w:rsidRDefault="00C73EA0" w:rsidP="00345344">
          <w:pPr>
            <w:pStyle w:val="ListParagraph"/>
            <w:keepNext/>
            <w:numPr>
              <w:ilvl w:val="0"/>
              <w:numId w:val="22"/>
            </w:numPr>
            <w:spacing w:after="120"/>
            <w:rPr>
              <w:rFonts w:asciiTheme="minorHAnsi" w:eastAsia="Calibri" w:hAnsiTheme="minorHAnsi" w:cstheme="minorHAnsi"/>
              <w:sz w:val="22"/>
              <w:szCs w:val="22"/>
            </w:rPr>
          </w:pPr>
          <w:r>
            <w:rPr>
              <w:rFonts w:asciiTheme="minorHAnsi" w:hAnsiTheme="minorHAnsi"/>
              <w:b/>
              <w:sz w:val="22"/>
              <w:szCs w:val="22"/>
            </w:rPr>
            <w:t>Komisijas datu aizsardzības speciālists (DAS)</w:t>
          </w:r>
        </w:p>
        <w:p w14:paraId="727DCA8D" w14:textId="0749DCF3" w:rsidR="004B23D6" w:rsidRPr="007B5922" w:rsidRDefault="00B80D9C" w:rsidP="00345344">
          <w:pPr>
            <w:spacing w:after="120"/>
            <w:rPr>
              <w:rFonts w:asciiTheme="minorHAnsi" w:eastAsia="Calibri" w:hAnsiTheme="minorHAnsi" w:cstheme="minorHAnsi"/>
              <w:sz w:val="22"/>
              <w:szCs w:val="22"/>
            </w:rPr>
          </w:pPr>
          <w:r w:rsidRPr="007B5922">
            <w:rPr>
              <w:rFonts w:asciiTheme="minorHAnsi" w:hAnsiTheme="minorHAnsi" w:cstheme="minorHAnsi"/>
              <w:sz w:val="22"/>
              <w:szCs w:val="22"/>
            </w:rPr>
            <w:t>Par jautājumiem, kas saistīti ar jūsu persondatu apstrādi atbilstīgi Regulai (ES) 2018/1725, varat sazināties ar datu aizsardzības speciālistu (</w:t>
          </w:r>
          <w:hyperlink r:id="rId16" w:history="1">
            <w:r w:rsidRPr="007B5922">
              <w:rPr>
                <w:rStyle w:val="Hyperlink"/>
                <w:rFonts w:asciiTheme="minorHAnsi" w:hAnsiTheme="minorHAnsi" w:cstheme="minorHAnsi"/>
                <w:sz w:val="22"/>
                <w:szCs w:val="22"/>
              </w:rPr>
              <w:t>DATA-PROTECTION-OFFICER@ec.europa.eu</w:t>
            </w:r>
          </w:hyperlink>
          <w:r w:rsidRPr="007B5922">
            <w:rPr>
              <w:rFonts w:asciiTheme="minorHAnsi" w:hAnsiTheme="minorHAnsi" w:cstheme="minorHAnsi"/>
              <w:color w:val="0000FF"/>
              <w:sz w:val="22"/>
              <w:szCs w:val="22"/>
              <w:u w:val="single"/>
            </w:rPr>
            <w:t>)</w:t>
          </w:r>
          <w:r w:rsidRPr="007B5922">
            <w:rPr>
              <w:rFonts w:asciiTheme="minorHAnsi" w:hAnsiTheme="minorHAnsi" w:cstheme="minorHAnsi"/>
              <w:sz w:val="22"/>
              <w:szCs w:val="22"/>
            </w:rPr>
            <w:t>.</w:t>
          </w:r>
        </w:p>
        <w:p w14:paraId="7C43ECE6" w14:textId="668CCA68" w:rsidR="004B23D6" w:rsidRPr="00345344" w:rsidRDefault="00C73EA0" w:rsidP="00345344">
          <w:pPr>
            <w:pStyle w:val="ListParagraph"/>
            <w:numPr>
              <w:ilvl w:val="0"/>
              <w:numId w:val="22"/>
            </w:numPr>
            <w:spacing w:after="120"/>
            <w:rPr>
              <w:rFonts w:asciiTheme="minorHAnsi" w:eastAsia="Calibri" w:hAnsiTheme="minorHAnsi" w:cstheme="minorHAnsi"/>
              <w:b/>
              <w:sz w:val="22"/>
              <w:szCs w:val="22"/>
            </w:rPr>
          </w:pPr>
          <w:r>
            <w:rPr>
              <w:rFonts w:asciiTheme="minorHAnsi" w:hAnsiTheme="minorHAnsi"/>
              <w:b/>
              <w:sz w:val="22"/>
              <w:szCs w:val="22"/>
            </w:rPr>
            <w:t>Eiropas Datu aizsardzības uzraudzītājs (EDAU)</w:t>
          </w:r>
        </w:p>
        <w:p w14:paraId="54E42DB0" w14:textId="77777777" w:rsidR="00C73EA0" w:rsidRPr="007B5922" w:rsidRDefault="00C73EA0" w:rsidP="00345344">
          <w:pPr>
            <w:spacing w:after="120"/>
            <w:rPr>
              <w:rFonts w:asciiTheme="minorHAnsi" w:eastAsia="Calibri" w:hAnsiTheme="minorHAnsi" w:cstheme="minorHAnsi"/>
              <w:sz w:val="22"/>
              <w:szCs w:val="22"/>
            </w:rPr>
          </w:pPr>
          <w:r w:rsidRPr="007B5922">
            <w:rPr>
              <w:rFonts w:asciiTheme="minorHAnsi" w:hAnsiTheme="minorHAnsi" w:cstheme="minorHAnsi"/>
              <w:sz w:val="22"/>
              <w:szCs w:val="22"/>
            </w:rPr>
            <w:t xml:space="preserve">Ja uzskatāt, ka datu pārziņa īstenotas jūsu persondatu apstrādes dēļ ir pārkāptas jūsu tiesības, kas noteiktas Regulā (ES) 2018/1725, jums ir tiesības vērsties pie Eiropas Datu aizsardzības uzraudzītāja, proti, iesniegt sūdzību, rakstot uz adresi </w:t>
          </w:r>
          <w:hyperlink r:id="rId17" w:history="1">
            <w:r w:rsidRPr="007B5922">
              <w:rPr>
                <w:rFonts w:asciiTheme="minorHAnsi" w:hAnsiTheme="minorHAnsi" w:cstheme="minorHAnsi"/>
                <w:color w:val="0000FF"/>
                <w:sz w:val="22"/>
                <w:szCs w:val="22"/>
                <w:u w:val="single"/>
              </w:rPr>
              <w:t>edps@edps.europa.eu</w:t>
            </w:r>
          </w:hyperlink>
          <w:r w:rsidRPr="007B5922">
            <w:rPr>
              <w:rFonts w:asciiTheme="minorHAnsi" w:hAnsiTheme="minorHAnsi" w:cstheme="minorHAnsi"/>
              <w:sz w:val="22"/>
              <w:szCs w:val="22"/>
            </w:rPr>
            <w:t>.</w:t>
          </w:r>
        </w:p>
        <w:p w14:paraId="50B995C6" w14:textId="77777777" w:rsidR="00C73EA0" w:rsidRPr="004B23D6" w:rsidRDefault="00C73EA0" w:rsidP="00345344">
          <w:pPr>
            <w:numPr>
              <w:ilvl w:val="0"/>
              <w:numId w:val="21"/>
            </w:numPr>
            <w:spacing w:after="120"/>
            <w:rPr>
              <w:rFonts w:asciiTheme="minorHAnsi" w:eastAsia="Calibri" w:hAnsiTheme="minorHAnsi" w:cstheme="minorHAnsi"/>
              <w:b/>
              <w:sz w:val="22"/>
              <w:szCs w:val="22"/>
              <w:u w:val="single"/>
            </w:rPr>
          </w:pPr>
          <w:r>
            <w:rPr>
              <w:rFonts w:asciiTheme="minorHAnsi" w:hAnsiTheme="minorHAnsi"/>
              <w:b/>
              <w:sz w:val="22"/>
              <w:szCs w:val="22"/>
              <w:u w:val="single"/>
            </w:rPr>
            <w:t>Kur var atrast sīkāku informāciju?</w:t>
          </w:r>
        </w:p>
        <w:p w14:paraId="7AB3A8CA" w14:textId="77777777" w:rsidR="00C73EA0" w:rsidRPr="004B23D6" w:rsidRDefault="00C73EA0" w:rsidP="00345344">
          <w:pPr>
            <w:spacing w:after="120"/>
            <w:rPr>
              <w:rFonts w:asciiTheme="minorHAnsi" w:eastAsia="Calibri" w:hAnsiTheme="minorHAnsi" w:cstheme="minorHAnsi"/>
              <w:sz w:val="22"/>
              <w:szCs w:val="22"/>
            </w:rPr>
          </w:pPr>
          <w:r>
            <w:rPr>
              <w:rFonts w:asciiTheme="minorHAnsi" w:hAnsiTheme="minorHAnsi"/>
              <w:sz w:val="22"/>
              <w:szCs w:val="22"/>
            </w:rPr>
            <w:t xml:space="preserve">Komisijas datu aizsardzības speciālists (DAS) publicē visu to Komisijas īstenoto persondatu apstrādes darbību reģistru, kuras ir reģistrētas un par kurām viņam ir paziņots. Reģistram var piekļūt, sekojot šai saitei: </w:t>
          </w:r>
          <w:hyperlink r:id="rId18" w:history="1">
            <w:r>
              <w:rPr>
                <w:rFonts w:asciiTheme="minorHAnsi" w:hAnsiTheme="minorHAnsi"/>
                <w:color w:val="0000FF"/>
                <w:sz w:val="22"/>
                <w:szCs w:val="22"/>
                <w:u w:val="single"/>
              </w:rPr>
              <w:t>http://ec.europa.eu/dpo-register</w:t>
            </w:r>
          </w:hyperlink>
          <w:r>
            <w:rPr>
              <w:rFonts w:asciiTheme="minorHAnsi" w:hAnsiTheme="minorHAnsi"/>
              <w:sz w:val="22"/>
              <w:szCs w:val="22"/>
            </w:rPr>
            <w:t>.</w:t>
          </w:r>
        </w:p>
        <w:p w14:paraId="366A19AC" w14:textId="2243B1D5" w:rsidR="00C73EA0" w:rsidRPr="00345344" w:rsidRDefault="00C73EA0" w:rsidP="00345344">
          <w:pPr>
            <w:spacing w:after="120"/>
            <w:rPr>
              <w:rFonts w:asciiTheme="minorHAnsi" w:eastAsia="Calibri" w:hAnsiTheme="minorHAnsi" w:cstheme="minorHAnsi"/>
              <w:color w:val="FF0000"/>
              <w:sz w:val="22"/>
              <w:szCs w:val="22"/>
            </w:rPr>
          </w:pPr>
          <w:r>
            <w:rPr>
              <w:rFonts w:asciiTheme="minorHAnsi" w:hAnsiTheme="minorHAnsi"/>
              <w:sz w:val="22"/>
              <w:szCs w:val="22"/>
            </w:rPr>
            <w:t>Šī konkrētā apstrādes darbība datu aizsardzības speciālista publiskajā reģistrā ir iekļauta ar šādu apstrādes darbības atsauces numuru:</w:t>
          </w:r>
          <w:r>
            <w:rPr>
              <w:rFonts w:asciiTheme="minorHAnsi" w:hAnsiTheme="minorHAnsi"/>
              <w:color w:val="000000" w:themeColor="text1"/>
              <w:sz w:val="22"/>
              <w:szCs w:val="22"/>
            </w:rPr>
            <w:t xml:space="preserve"> DPR-EC-08307.1</w:t>
          </w:r>
        </w:p>
        <w:p w14:paraId="1F67BACC" w14:textId="77777777" w:rsidR="00D139D0" w:rsidRPr="004B23D6" w:rsidRDefault="00D01466" w:rsidP="00345344">
          <w:pPr>
            <w:pStyle w:val="Date"/>
            <w:spacing w:after="120"/>
            <w:jc w:val="both"/>
            <w:rPr>
              <w:rFonts w:asciiTheme="minorHAnsi" w:hAnsiTheme="minorHAnsi" w:cstheme="minorHAnsi"/>
              <w:sz w:val="22"/>
              <w:szCs w:val="22"/>
              <w:lang w:val="en-IE"/>
            </w:rPr>
          </w:pPr>
        </w:p>
      </w:sdtContent>
    </w:sdt>
    <w:sectPr w:rsidR="00D139D0" w:rsidRPr="004B23D6" w:rsidSect="00C73EA0">
      <w:footerReference w:type="even" r:id="rId19"/>
      <w:footerReference w:type="default" r:id="rId20"/>
      <w:footerReference w:type="first" r:id="rId21"/>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5B2F" w14:textId="77777777" w:rsidR="003779CA" w:rsidRDefault="003779CA">
      <w:pPr>
        <w:spacing w:after="0"/>
      </w:pPr>
      <w:r>
        <w:separator/>
      </w:r>
    </w:p>
  </w:endnote>
  <w:endnote w:type="continuationSeparator" w:id="0">
    <w:p w14:paraId="7B382378" w14:textId="77777777" w:rsidR="003779CA" w:rsidRDefault="00377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76F4" w14:textId="6583D7D3" w:rsidR="00D139D0" w:rsidRDefault="00CD6762">
    <w:pPr>
      <w:pStyle w:val="FooterLine"/>
      <w:jc w:val="center"/>
    </w:pPr>
    <w:r>
      <w:fldChar w:fldCharType="begin"/>
    </w:r>
    <w:r>
      <w:instrText>PAGE   \* MERGEFORMAT</w:instrText>
    </w:r>
    <w:r>
      <w:fldChar w:fldCharType="separate"/>
    </w:r>
    <w:r w:rsidR="00D0146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3DF0" w14:textId="77777777" w:rsidR="00D139D0" w:rsidRDefault="00D139D0">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77029"/>
      <w:docPartObj>
        <w:docPartGallery w:val="Page Numbers (Bottom of Page)"/>
        <w:docPartUnique/>
      </w:docPartObj>
    </w:sdtPr>
    <w:sdtEndPr>
      <w:rPr>
        <w:noProof/>
      </w:rPr>
    </w:sdtEndPr>
    <w:sdtContent>
      <w:p w14:paraId="5D9A8082" w14:textId="77777777" w:rsidR="00C73EA0" w:rsidRDefault="00C73EA0">
        <w:pPr>
          <w:pStyle w:val="Footer"/>
          <w:jc w:val="center"/>
        </w:pPr>
        <w:r>
          <w:fldChar w:fldCharType="begin"/>
        </w:r>
        <w:r>
          <w:instrText xml:space="preserve"> PAGE   \* MERGEFORMAT </w:instrText>
        </w:r>
        <w:r>
          <w:fldChar w:fldCharType="separate"/>
        </w:r>
        <w:r>
          <w:t>1</w:t>
        </w:r>
        <w:r>
          <w:fldChar w:fldCharType="end"/>
        </w:r>
      </w:p>
    </w:sdtContent>
  </w:sdt>
  <w:p w14:paraId="0B40E926" w14:textId="77777777" w:rsidR="00D139D0" w:rsidRDefault="00D1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A22F" w14:textId="77777777" w:rsidR="003779CA" w:rsidRDefault="003779CA">
      <w:pPr>
        <w:spacing w:after="0"/>
      </w:pPr>
      <w:r>
        <w:separator/>
      </w:r>
    </w:p>
  </w:footnote>
  <w:footnote w:type="continuationSeparator" w:id="0">
    <w:p w14:paraId="35F28419" w14:textId="77777777" w:rsidR="003779CA" w:rsidRDefault="003779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6A4C6FD8"/>
    <w:name w:val="ListDash4Numbering"/>
    <w:lvl w:ilvl="0">
      <w:start w:val="1"/>
      <w:numFmt w:val="bullet"/>
      <w:pStyle w:val="ListDash4"/>
      <w:lvlText w:val="–"/>
      <w:lvlJc w:val="left"/>
      <w:pPr>
        <w:tabs>
          <w:tab w:val="num" w:pos="2727"/>
        </w:tabs>
        <w:ind w:left="2727" w:hanging="283"/>
      </w:pPr>
      <w:rPr>
        <w:rFonts w:ascii="Times New Roman" w:hAnsi="Times New Roman"/>
      </w:rPr>
    </w:lvl>
    <w:lvl w:ilvl="1">
      <w:start w:val="1"/>
      <w:numFmt w:val="bullet"/>
      <w:pStyle w:val="ListDash4Level2"/>
      <w:lvlText w:val="–"/>
      <w:lvlJc w:val="left"/>
      <w:pPr>
        <w:tabs>
          <w:tab w:val="num" w:pos="3011"/>
        </w:tabs>
        <w:ind w:left="3011" w:hanging="284"/>
      </w:pPr>
      <w:rPr>
        <w:rFonts w:ascii="Times New Roman" w:hAnsi="Times New Roman"/>
      </w:rPr>
    </w:lvl>
    <w:lvl w:ilvl="2">
      <w:start w:val="1"/>
      <w:numFmt w:val="bullet"/>
      <w:pStyle w:val="ListDash4Level3"/>
      <w:lvlText w:val="–"/>
      <w:lvlJc w:val="left"/>
      <w:pPr>
        <w:tabs>
          <w:tab w:val="num" w:pos="3294"/>
        </w:tabs>
        <w:ind w:left="3294" w:hanging="283"/>
      </w:pPr>
      <w:rPr>
        <w:rFonts w:ascii="Times New Roman" w:hAnsi="Times New Roman"/>
      </w:rPr>
    </w:lvl>
    <w:lvl w:ilvl="3">
      <w:start w:val="1"/>
      <w:numFmt w:val="bullet"/>
      <w:pStyle w:val="ListDash4Level4"/>
      <w:lvlText w:val="–"/>
      <w:lvlJc w:val="left"/>
      <w:pPr>
        <w:tabs>
          <w:tab w:val="num" w:pos="3578"/>
        </w:tabs>
        <w:ind w:left="357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05EA50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DB1094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66ED5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28E963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F0AC5"/>
    <w:multiLevelType w:val="multilevel"/>
    <w:tmpl w:val="E9445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9D133A"/>
    <w:multiLevelType w:val="hybridMultilevel"/>
    <w:tmpl w:val="813C5E6A"/>
    <w:lvl w:ilvl="0" w:tplc="DF7C2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B624F"/>
    <w:multiLevelType w:val="multilevel"/>
    <w:tmpl w:val="8174ABE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6A70ACF"/>
    <w:multiLevelType w:val="hybridMultilevel"/>
    <w:tmpl w:val="BC6AC094"/>
    <w:lvl w:ilvl="0" w:tplc="67DCD2BC">
      <w:start w:val="1"/>
      <w:numFmt w:val="bullet"/>
      <w:lvlText w:val=""/>
      <w:lvlJc w:val="left"/>
      <w:pPr>
        <w:ind w:left="360" w:hanging="360"/>
      </w:pPr>
      <w:rPr>
        <w:rFonts w:ascii="Symbol" w:hAnsi="Symbol" w:hint="default"/>
      </w:rPr>
    </w:lvl>
    <w:lvl w:ilvl="1" w:tplc="16589552">
      <w:start w:val="1"/>
      <w:numFmt w:val="bullet"/>
      <w:lvlText w:val="o"/>
      <w:lvlJc w:val="left"/>
      <w:pPr>
        <w:ind w:left="1080" w:hanging="360"/>
      </w:pPr>
      <w:rPr>
        <w:rFonts w:ascii="Courier New" w:hAnsi="Courier New" w:cs="Courier New" w:hint="default"/>
      </w:rPr>
    </w:lvl>
    <w:lvl w:ilvl="2" w:tplc="DCE869D0" w:tentative="1">
      <w:start w:val="1"/>
      <w:numFmt w:val="bullet"/>
      <w:lvlText w:val=""/>
      <w:lvlJc w:val="left"/>
      <w:pPr>
        <w:ind w:left="1800" w:hanging="360"/>
      </w:pPr>
      <w:rPr>
        <w:rFonts w:ascii="Wingdings" w:hAnsi="Wingdings" w:hint="default"/>
      </w:rPr>
    </w:lvl>
    <w:lvl w:ilvl="3" w:tplc="C4D015D2" w:tentative="1">
      <w:start w:val="1"/>
      <w:numFmt w:val="bullet"/>
      <w:lvlText w:val=""/>
      <w:lvlJc w:val="left"/>
      <w:pPr>
        <w:ind w:left="2520" w:hanging="360"/>
      </w:pPr>
      <w:rPr>
        <w:rFonts w:ascii="Symbol" w:hAnsi="Symbol" w:hint="default"/>
      </w:rPr>
    </w:lvl>
    <w:lvl w:ilvl="4" w:tplc="70ECA436" w:tentative="1">
      <w:start w:val="1"/>
      <w:numFmt w:val="bullet"/>
      <w:lvlText w:val="o"/>
      <w:lvlJc w:val="left"/>
      <w:pPr>
        <w:ind w:left="3240" w:hanging="360"/>
      </w:pPr>
      <w:rPr>
        <w:rFonts w:ascii="Courier New" w:hAnsi="Courier New" w:cs="Courier New" w:hint="default"/>
      </w:rPr>
    </w:lvl>
    <w:lvl w:ilvl="5" w:tplc="3F88C728" w:tentative="1">
      <w:start w:val="1"/>
      <w:numFmt w:val="bullet"/>
      <w:lvlText w:val=""/>
      <w:lvlJc w:val="left"/>
      <w:pPr>
        <w:ind w:left="3960" w:hanging="360"/>
      </w:pPr>
      <w:rPr>
        <w:rFonts w:ascii="Wingdings" w:hAnsi="Wingdings" w:hint="default"/>
      </w:rPr>
    </w:lvl>
    <w:lvl w:ilvl="6" w:tplc="FD32F742" w:tentative="1">
      <w:start w:val="1"/>
      <w:numFmt w:val="bullet"/>
      <w:lvlText w:val=""/>
      <w:lvlJc w:val="left"/>
      <w:pPr>
        <w:ind w:left="4680" w:hanging="360"/>
      </w:pPr>
      <w:rPr>
        <w:rFonts w:ascii="Symbol" w:hAnsi="Symbol" w:hint="default"/>
      </w:rPr>
    </w:lvl>
    <w:lvl w:ilvl="7" w:tplc="53043CBA" w:tentative="1">
      <w:start w:val="1"/>
      <w:numFmt w:val="bullet"/>
      <w:lvlText w:val="o"/>
      <w:lvlJc w:val="left"/>
      <w:pPr>
        <w:ind w:left="5400" w:hanging="360"/>
      </w:pPr>
      <w:rPr>
        <w:rFonts w:ascii="Courier New" w:hAnsi="Courier New" w:cs="Courier New" w:hint="default"/>
      </w:rPr>
    </w:lvl>
    <w:lvl w:ilvl="8" w:tplc="2DA0B0AE"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618AE3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FD7ADE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5ED1319"/>
    <w:multiLevelType w:val="hybridMultilevel"/>
    <w:tmpl w:val="C26090B0"/>
    <w:lvl w:ilvl="0" w:tplc="FCA2638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324F1E"/>
    <w:multiLevelType w:val="multilevel"/>
    <w:tmpl w:val="3C76042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4CF493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016566"/>
    <w:multiLevelType w:val="hybridMultilevel"/>
    <w:tmpl w:val="D018A31C"/>
    <w:lvl w:ilvl="0" w:tplc="BB9E2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730C4"/>
    <w:multiLevelType w:val="multilevel"/>
    <w:tmpl w:val="D27EB9E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B74440C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3BA7CC1"/>
    <w:multiLevelType w:val="hybridMultilevel"/>
    <w:tmpl w:val="267250A4"/>
    <w:lvl w:ilvl="0" w:tplc="06B22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17258"/>
    <w:multiLevelType w:val="hybridMultilevel"/>
    <w:tmpl w:val="E40E7A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E1A982C"/>
    <w:multiLevelType w:val="multilevel"/>
    <w:tmpl w:val="3C6ED7D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BE2AE2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8B2D0A"/>
    <w:multiLevelType w:val="hybridMultilevel"/>
    <w:tmpl w:val="218EB4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977472E"/>
    <w:multiLevelType w:val="multilevel"/>
    <w:tmpl w:val="5AF02FE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BBA03DA"/>
    <w:multiLevelType w:val="hybridMultilevel"/>
    <w:tmpl w:val="8A94B0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5145E"/>
    <w:multiLevelType w:val="multilevel"/>
    <w:tmpl w:val="B0D450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 w:numId="2">
    <w:abstractNumId w:val="14"/>
  </w:num>
  <w:num w:numId="3">
    <w:abstractNumId w:val="9"/>
  </w:num>
  <w:num w:numId="4">
    <w:abstractNumId w:val="15"/>
  </w:num>
  <w:num w:numId="5">
    <w:abstractNumId w:val="23"/>
  </w:num>
  <w:num w:numId="6">
    <w:abstractNumId w:val="26"/>
  </w:num>
  <w:num w:numId="7">
    <w:abstractNumId w:val="2"/>
  </w:num>
  <w:num w:numId="8">
    <w:abstractNumId w:val="7"/>
  </w:num>
  <w:num w:numId="9">
    <w:abstractNumId w:val="19"/>
  </w:num>
  <w:num w:numId="10">
    <w:abstractNumId w:val="3"/>
  </w:num>
  <w:num w:numId="11">
    <w:abstractNumId w:val="4"/>
  </w:num>
  <w:num w:numId="12">
    <w:abstractNumId w:val="5"/>
  </w:num>
  <w:num w:numId="13">
    <w:abstractNumId w:val="11"/>
  </w:num>
  <w:num w:numId="14">
    <w:abstractNumId w:val="17"/>
  </w:num>
  <w:num w:numId="15">
    <w:abstractNumId w:val="22"/>
  </w:num>
  <w:num w:numId="16">
    <w:abstractNumId w:val="29"/>
  </w:num>
  <w:num w:numId="17">
    <w:abstractNumId w:val="12"/>
  </w:num>
  <w:num w:numId="18">
    <w:abstractNumId w:val="18"/>
  </w:num>
  <w:num w:numId="19">
    <w:abstractNumId w:val="1"/>
  </w:num>
  <w:num w:numId="20">
    <w:abstractNumId w:val="24"/>
  </w:num>
  <w:num w:numId="21">
    <w:abstractNumId w:val="28"/>
  </w:num>
  <w:num w:numId="22">
    <w:abstractNumId w:val="6"/>
  </w:num>
  <w:num w:numId="23">
    <w:abstractNumId w:val="13"/>
  </w:num>
  <w:num w:numId="24">
    <w:abstractNumId w:val="8"/>
  </w:num>
  <w:num w:numId="25">
    <w:abstractNumId w:val="20"/>
  </w:num>
  <w:num w:numId="26">
    <w:abstractNumId w:val="16"/>
  </w:num>
  <w:num w:numId="27">
    <w:abstractNumId w:val="27"/>
  </w:num>
  <w:num w:numId="28">
    <w:abstractNumId w:val="10"/>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ttachedTemplate r:id="rId1"/>
  <w:defaultTabStop w:val="720"/>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C73EA0"/>
    <w:rsid w:val="0003210D"/>
    <w:rsid w:val="00032B24"/>
    <w:rsid w:val="00037A71"/>
    <w:rsid w:val="00037F12"/>
    <w:rsid w:val="00040F6F"/>
    <w:rsid w:val="0007017E"/>
    <w:rsid w:val="000A1E9A"/>
    <w:rsid w:val="000A2717"/>
    <w:rsid w:val="000A7C6F"/>
    <w:rsid w:val="000B64F6"/>
    <w:rsid w:val="000E701E"/>
    <w:rsid w:val="001010EC"/>
    <w:rsid w:val="00137EF4"/>
    <w:rsid w:val="0015145A"/>
    <w:rsid w:val="00153C7B"/>
    <w:rsid w:val="00170634"/>
    <w:rsid w:val="00172BD7"/>
    <w:rsid w:val="00182F6F"/>
    <w:rsid w:val="001A4626"/>
    <w:rsid w:val="001E136E"/>
    <w:rsid w:val="001F241D"/>
    <w:rsid w:val="001F3D4E"/>
    <w:rsid w:val="0020220D"/>
    <w:rsid w:val="002153C8"/>
    <w:rsid w:val="00217B48"/>
    <w:rsid w:val="00220532"/>
    <w:rsid w:val="0026775C"/>
    <w:rsid w:val="0027453C"/>
    <w:rsid w:val="002868C7"/>
    <w:rsid w:val="00296561"/>
    <w:rsid w:val="002C1A9B"/>
    <w:rsid w:val="002E039C"/>
    <w:rsid w:val="002F0A3D"/>
    <w:rsid w:val="002F6B41"/>
    <w:rsid w:val="002F79B7"/>
    <w:rsid w:val="003019CC"/>
    <w:rsid w:val="00342821"/>
    <w:rsid w:val="00345344"/>
    <w:rsid w:val="003503E7"/>
    <w:rsid w:val="0035068D"/>
    <w:rsid w:val="0035136A"/>
    <w:rsid w:val="003671DD"/>
    <w:rsid w:val="00373791"/>
    <w:rsid w:val="00374C89"/>
    <w:rsid w:val="003779CA"/>
    <w:rsid w:val="003D1A79"/>
    <w:rsid w:val="003F0510"/>
    <w:rsid w:val="00424869"/>
    <w:rsid w:val="0043281A"/>
    <w:rsid w:val="00434056"/>
    <w:rsid w:val="00457C35"/>
    <w:rsid w:val="004672C9"/>
    <w:rsid w:val="00472365"/>
    <w:rsid w:val="0049014D"/>
    <w:rsid w:val="004B23D6"/>
    <w:rsid w:val="004B509A"/>
    <w:rsid w:val="004C1CFF"/>
    <w:rsid w:val="00514F44"/>
    <w:rsid w:val="00543AB8"/>
    <w:rsid w:val="00557F2D"/>
    <w:rsid w:val="0056481A"/>
    <w:rsid w:val="00586480"/>
    <w:rsid w:val="005877C4"/>
    <w:rsid w:val="00591729"/>
    <w:rsid w:val="00591D27"/>
    <w:rsid w:val="006016AE"/>
    <w:rsid w:val="006209D3"/>
    <w:rsid w:val="00636EE5"/>
    <w:rsid w:val="00645CF6"/>
    <w:rsid w:val="00662327"/>
    <w:rsid w:val="00695F0A"/>
    <w:rsid w:val="006A52EB"/>
    <w:rsid w:val="006C5C5F"/>
    <w:rsid w:val="006D5DF3"/>
    <w:rsid w:val="006E0B0E"/>
    <w:rsid w:val="00700C3D"/>
    <w:rsid w:val="007030FB"/>
    <w:rsid w:val="00710BFB"/>
    <w:rsid w:val="00720150"/>
    <w:rsid w:val="007509D3"/>
    <w:rsid w:val="0075636A"/>
    <w:rsid w:val="007654BD"/>
    <w:rsid w:val="00771330"/>
    <w:rsid w:val="00771F40"/>
    <w:rsid w:val="00775396"/>
    <w:rsid w:val="00784265"/>
    <w:rsid w:val="00792A1F"/>
    <w:rsid w:val="00794D66"/>
    <w:rsid w:val="007966F3"/>
    <w:rsid w:val="007A18DC"/>
    <w:rsid w:val="007A2B6A"/>
    <w:rsid w:val="007B091A"/>
    <w:rsid w:val="007B5922"/>
    <w:rsid w:val="007E2448"/>
    <w:rsid w:val="007E2E8A"/>
    <w:rsid w:val="007E33E8"/>
    <w:rsid w:val="007F195C"/>
    <w:rsid w:val="007F613F"/>
    <w:rsid w:val="008000D4"/>
    <w:rsid w:val="00802982"/>
    <w:rsid w:val="00804F1B"/>
    <w:rsid w:val="00827E1A"/>
    <w:rsid w:val="00840B39"/>
    <w:rsid w:val="0085771E"/>
    <w:rsid w:val="0086142B"/>
    <w:rsid w:val="00863412"/>
    <w:rsid w:val="008702E4"/>
    <w:rsid w:val="008F2073"/>
    <w:rsid w:val="009244D4"/>
    <w:rsid w:val="0093397A"/>
    <w:rsid w:val="00946B51"/>
    <w:rsid w:val="009A668B"/>
    <w:rsid w:val="009C76CC"/>
    <w:rsid w:val="009F0441"/>
    <w:rsid w:val="00A25741"/>
    <w:rsid w:val="00A56A0B"/>
    <w:rsid w:val="00A77833"/>
    <w:rsid w:val="00A90D93"/>
    <w:rsid w:val="00AA7F3C"/>
    <w:rsid w:val="00AC6ACE"/>
    <w:rsid w:val="00AE1325"/>
    <w:rsid w:val="00AF0D9E"/>
    <w:rsid w:val="00B26293"/>
    <w:rsid w:val="00B33576"/>
    <w:rsid w:val="00B44D66"/>
    <w:rsid w:val="00B465D7"/>
    <w:rsid w:val="00B80D9C"/>
    <w:rsid w:val="00B91C6E"/>
    <w:rsid w:val="00BB1998"/>
    <w:rsid w:val="00BD02E3"/>
    <w:rsid w:val="00BE3AEC"/>
    <w:rsid w:val="00C02F27"/>
    <w:rsid w:val="00C0656D"/>
    <w:rsid w:val="00C075B2"/>
    <w:rsid w:val="00C13D3D"/>
    <w:rsid w:val="00C52346"/>
    <w:rsid w:val="00C67C3C"/>
    <w:rsid w:val="00C73EA0"/>
    <w:rsid w:val="00CD5351"/>
    <w:rsid w:val="00CD6762"/>
    <w:rsid w:val="00CE4669"/>
    <w:rsid w:val="00D01466"/>
    <w:rsid w:val="00D139D0"/>
    <w:rsid w:val="00D3249C"/>
    <w:rsid w:val="00D36F2E"/>
    <w:rsid w:val="00D41482"/>
    <w:rsid w:val="00D567E6"/>
    <w:rsid w:val="00DD3BB9"/>
    <w:rsid w:val="00DE58D6"/>
    <w:rsid w:val="00DF149E"/>
    <w:rsid w:val="00DF2F0F"/>
    <w:rsid w:val="00DF326A"/>
    <w:rsid w:val="00E02EB8"/>
    <w:rsid w:val="00E11B64"/>
    <w:rsid w:val="00E21677"/>
    <w:rsid w:val="00E279BA"/>
    <w:rsid w:val="00E729FB"/>
    <w:rsid w:val="00E774D5"/>
    <w:rsid w:val="00E82D2B"/>
    <w:rsid w:val="00E84161"/>
    <w:rsid w:val="00ED2982"/>
    <w:rsid w:val="00EE3AC2"/>
    <w:rsid w:val="00EF16FE"/>
    <w:rsid w:val="00EF1C81"/>
    <w:rsid w:val="00F022C5"/>
    <w:rsid w:val="00F220C8"/>
    <w:rsid w:val="00F378B4"/>
    <w:rsid w:val="00F4293A"/>
    <w:rsid w:val="00F4408B"/>
    <w:rsid w:val="00F65231"/>
    <w:rsid w:val="00F73590"/>
    <w:rsid w:val="00F74026"/>
    <w:rsid w:val="00F914AC"/>
    <w:rsid w:val="00F92901"/>
    <w:rsid w:val="00FB7A3B"/>
    <w:rsid w:val="00F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2E30"/>
  <w15:docId w15:val="{76D4C9E5-92A7-45F0-8631-CE15580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v-LV" w:eastAsia="fr-BE"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keepNext/>
      <w:spacing w:before="240"/>
      <w:jc w:val="center"/>
    </w:pPr>
    <w:rPr>
      <w:b/>
    </w:r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2">
    <w:name w:val="toc 2"/>
    <w:basedOn w:val="Normal"/>
    <w:next w:val="Normal"/>
    <w:semiHidden/>
    <w:pPr>
      <w:tabs>
        <w:tab w:val="right" w:leader="dot" w:pos="8640"/>
      </w:tabs>
      <w:spacing w:before="60" w:after="60"/>
      <w:ind w:left="1672" w:right="720" w:hanging="595"/>
    </w:pPr>
  </w:style>
  <w:style w:type="paragraph" w:styleId="TOC3">
    <w:name w:val="toc 3"/>
    <w:basedOn w:val="Normal"/>
    <w:next w:val="Normal"/>
    <w:semiHidden/>
    <w:pPr>
      <w:tabs>
        <w:tab w:val="right" w:leader="dot" w:pos="8640"/>
      </w:tabs>
      <w:spacing w:before="60" w:after="60"/>
      <w:ind w:left="2755" w:right="720" w:hanging="839"/>
    </w:pPr>
  </w:style>
  <w:style w:type="paragraph" w:styleId="TOC4">
    <w:name w:val="toc 4"/>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9">
    <w:name w:val="toc 9"/>
    <w:basedOn w:val="Normal"/>
    <w:next w:val="Normal"/>
    <w:semiHidden/>
    <w:pPr>
      <w:tabs>
        <w:tab w:val="right" w:leader="dot" w:pos="8640"/>
      </w:tabs>
      <w:spacing w:before="60" w:after="60"/>
      <w:ind w:left="3844" w:right="720" w:hanging="964"/>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unhideWhenUsed/>
    <w:locked/>
    <w:rsid w:val="00C73EA0"/>
    <w:rPr>
      <w:color w:val="0000FF"/>
      <w:u w:val="single"/>
    </w:rPr>
  </w:style>
  <w:style w:type="character" w:styleId="FootnoteReference">
    <w:name w:val="footnote reference"/>
    <w:semiHidden/>
    <w:unhideWhenUsed/>
    <w:locked/>
    <w:rsid w:val="00C73EA0"/>
    <w:rPr>
      <w:vertAlign w:val="superscript"/>
    </w:rPr>
  </w:style>
  <w:style w:type="character" w:styleId="CommentReference">
    <w:name w:val="annotation reference"/>
    <w:semiHidden/>
    <w:unhideWhenUsed/>
    <w:locked/>
    <w:rsid w:val="00C73EA0"/>
    <w:rPr>
      <w:sz w:val="16"/>
      <w:szCs w:val="16"/>
    </w:rPr>
  </w:style>
  <w:style w:type="paragraph" w:styleId="CommentText">
    <w:name w:val="annotation text"/>
    <w:basedOn w:val="Normal"/>
    <w:link w:val="CommentTextChar"/>
    <w:semiHidden/>
    <w:unhideWhenUsed/>
    <w:locked/>
    <w:rsid w:val="00C73EA0"/>
    <w:pPr>
      <w:spacing w:after="200" w:line="276" w:lineRule="auto"/>
      <w:jc w:val="left"/>
    </w:pPr>
    <w:rPr>
      <w:rFonts w:ascii="Calibri" w:eastAsia="Calibri" w:hAnsi="Calibri"/>
      <w:sz w:val="20"/>
      <w:lang w:eastAsia="en-US"/>
    </w:rPr>
  </w:style>
  <w:style w:type="character" w:customStyle="1" w:styleId="CommentTextChar">
    <w:name w:val="Comment Text Char"/>
    <w:basedOn w:val="DefaultParagraphFont"/>
    <w:link w:val="CommentText"/>
    <w:semiHidden/>
    <w:rsid w:val="00C73EA0"/>
    <w:rPr>
      <w:rFonts w:ascii="Calibri" w:eastAsia="Calibri" w:hAnsi="Calibri"/>
      <w:sz w:val="20"/>
      <w:lang w:val="lv-LV" w:eastAsia="en-US"/>
    </w:rPr>
  </w:style>
  <w:style w:type="paragraph" w:styleId="BalloonText">
    <w:name w:val="Balloon Text"/>
    <w:basedOn w:val="Normal"/>
    <w:link w:val="BalloonTextChar"/>
    <w:semiHidden/>
    <w:locked/>
    <w:rsid w:val="00C73E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73EA0"/>
    <w:rPr>
      <w:rFonts w:ascii="Segoe UI" w:hAnsi="Segoe UI" w:cs="Segoe UI"/>
      <w:sz w:val="18"/>
      <w:szCs w:val="18"/>
    </w:rPr>
  </w:style>
  <w:style w:type="character" w:customStyle="1" w:styleId="FooterChar">
    <w:name w:val="Footer Char"/>
    <w:basedOn w:val="DefaultParagraphFont"/>
    <w:link w:val="Footer"/>
    <w:uiPriority w:val="99"/>
    <w:rsid w:val="00C73EA0"/>
    <w:rPr>
      <w:rFonts w:ascii="Arial" w:hAnsi="Arial"/>
      <w:sz w:val="16"/>
    </w:rPr>
  </w:style>
  <w:style w:type="paragraph" w:styleId="CommentSubject">
    <w:name w:val="annotation subject"/>
    <w:basedOn w:val="CommentText"/>
    <w:next w:val="CommentText"/>
    <w:link w:val="CommentSubjectChar"/>
    <w:semiHidden/>
    <w:locked/>
    <w:rsid w:val="008000D4"/>
    <w:pPr>
      <w:spacing w:after="240" w:line="240" w:lineRule="auto"/>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sid w:val="008000D4"/>
    <w:rPr>
      <w:rFonts w:ascii="Calibri" w:eastAsia="Calibri" w:hAnsi="Calibri"/>
      <w:b/>
      <w:bCs/>
      <w:sz w:val="20"/>
      <w:lang w:val="lv-LV" w:eastAsia="en-US"/>
    </w:rPr>
  </w:style>
  <w:style w:type="paragraph" w:styleId="ListParagraph">
    <w:name w:val="List Paragraph"/>
    <w:basedOn w:val="Normal"/>
    <w:semiHidden/>
    <w:locked/>
    <w:rsid w:val="00BD02E3"/>
    <w:pPr>
      <w:ind w:left="720"/>
      <w:contextualSpacing/>
    </w:pPr>
  </w:style>
  <w:style w:type="paragraph" w:styleId="Revision">
    <w:name w:val="Revision"/>
    <w:hidden/>
    <w:semiHidden/>
    <w:locked/>
    <w:rsid w:val="00E279BA"/>
  </w:style>
  <w:style w:type="character" w:styleId="FollowedHyperlink">
    <w:name w:val="FollowedHyperlink"/>
    <w:basedOn w:val="DefaultParagraphFont"/>
    <w:semiHidden/>
    <w:locked/>
    <w:rsid w:val="001E1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66036">
      <w:bodyDiv w:val="1"/>
      <w:marLeft w:val="0"/>
      <w:marRight w:val="0"/>
      <w:marTop w:val="0"/>
      <w:marBottom w:val="0"/>
      <w:divBdr>
        <w:top w:val="none" w:sz="0" w:space="0" w:color="auto"/>
        <w:left w:val="none" w:sz="0" w:space="0" w:color="auto"/>
        <w:bottom w:val="none" w:sz="0" w:space="0" w:color="auto"/>
        <w:right w:val="none" w:sz="0" w:space="0" w:color="auto"/>
      </w:divBdr>
    </w:div>
    <w:div w:id="1000354924">
      <w:bodyDiv w:val="1"/>
      <w:marLeft w:val="0"/>
      <w:marRight w:val="0"/>
      <w:marTop w:val="0"/>
      <w:marBottom w:val="0"/>
      <w:divBdr>
        <w:top w:val="none" w:sz="0" w:space="0" w:color="auto"/>
        <w:left w:val="none" w:sz="0" w:space="0" w:color="auto"/>
        <w:bottom w:val="none" w:sz="0" w:space="0" w:color="auto"/>
        <w:right w:val="none" w:sz="0" w:space="0" w:color="auto"/>
      </w:divBdr>
    </w:div>
    <w:div w:id="1091896820">
      <w:bodyDiv w:val="1"/>
      <w:marLeft w:val="0"/>
      <w:marRight w:val="0"/>
      <w:marTop w:val="0"/>
      <w:marBottom w:val="0"/>
      <w:divBdr>
        <w:top w:val="none" w:sz="0" w:space="0" w:color="auto"/>
        <w:left w:val="none" w:sz="0" w:space="0" w:color="auto"/>
        <w:bottom w:val="none" w:sz="0" w:space="0" w:color="auto"/>
        <w:right w:val="none" w:sz="0" w:space="0" w:color="auto"/>
      </w:divBdr>
    </w:div>
    <w:div w:id="1146704416">
      <w:bodyDiv w:val="1"/>
      <w:marLeft w:val="0"/>
      <w:marRight w:val="0"/>
      <w:marTop w:val="0"/>
      <w:marBottom w:val="0"/>
      <w:divBdr>
        <w:top w:val="none" w:sz="0" w:space="0" w:color="auto"/>
        <w:left w:val="none" w:sz="0" w:space="0" w:color="auto"/>
        <w:bottom w:val="none" w:sz="0" w:space="0" w:color="auto"/>
        <w:right w:val="none" w:sz="0" w:space="0" w:color="auto"/>
      </w:divBdr>
    </w:div>
    <w:div w:id="2133204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c.europa.eu/dpo-registe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dps@edps.europa.eu" TargetMode="External"/><Relationship Id="rId2" Type="http://schemas.openxmlformats.org/officeDocument/2006/relationships/customXml" Target="../customXml/item2.xml"/><Relationship Id="rId16" Type="http://schemas.openxmlformats.org/officeDocument/2006/relationships/hyperlink" Target="mailto:DATA-PROTECTION-OFFICER@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MM-DATA-PROTECTION-COORDINATOR@ec.europa.e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1328705F06243817E5FF1877EF10A" ma:contentTypeVersion="1" ma:contentTypeDescription="Create a new document." ma:contentTypeScope="" ma:versionID="2e82835d85fac65fc58e2072bc24cb7b">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10.0.37613.0</Version>
    <Date>2019-01-16T22:16:09</Date>
    <Language>EN</Language>
    <Note/>
  </Created>
  <Edited>
    <Version>10.0.41840.0</Version>
    <Date>2021-03-24T12:39:25</Date>
  </Edited>
  <DocumentModel>
    <Id>0b054141-88b1-4efb-8c91-2905cb0bed6c</Id>
    <Name>Note</Name>
  </DocumentModel>
  <DocumentDate>2019-01-16T22:16:09</DocumentDate>
  <DocumentVersion>0.1</DocumentVersion>
  <CompatibilityMode>Eurolook10</CompatibilityMode>
</EurolookProperties>
</file>

<file path=customXml/item3.xml><?xml version="1.0" encoding="utf-8"?>
<Author Role="Creator">
  <Id>f507bb66-6ad3-4dae-a608-c8e5b700f415</Id>
  <Names>
    <Latin>
      <FirstName>Martin</FirstName>
      <LastName>KROEGER</LastName>
    </Latin>
    <Greek>
      <FirstName/>
      <LastName/>
    </Greek>
    <Cyrillic>
      <FirstName/>
      <LastName/>
    </Cyrillic>
    <DocumentScript>
      <FirstName>Martin</FirstName>
      <LastName>KROEGER</LastName>
      <FullName>Martin KROEGER</FullName>
    </DocumentScript>
  </Names>
  <Initials>MK</Initials>
  <Gender>m</Gender>
  <Email/>
  <Service>SG.DSG1.DPO</Service>
  <Function ShowInSignature="true">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OrgaEntity3>
    <Id>0726de45-7494-4bf9-85b1-eeb5b0fbe451</Id>
    <LogicalLevel>3</LogicalLevel>
    <Name>SG.DSG1.DPO</Name>
    <HeadLine1>Data Protection Officer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+32 229 99559</Phone>
    <Office>F101 05/177</Office>
  </MainWorkplace>
  <Workplaces>
    <Workplace IsMain="false">
      <AddressId>1264fb81-f6bb-475e-9f9d-a937d3be6ee2</AddressId>
      <Fax/>
      <Phone/>
      <Office/>
    </Workplace>
    <Workplace IsMain="true">
      <AddressId>f03b5801-04c9-4931-aa17-c6d6c70bc579</AddressId>
      <Fax/>
      <Phone>+32 229 99559</Phone>
      <Office>F101 05/177</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EIROPAS KOMISIJA</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7DA406-3C39-4F54-8CCA-FDEDE0C3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FBA8116-2E53-4221-955A-4306F3ED1744}">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CAB3042-D34B-4C1A-A328-5080F245A7D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7.xml><?xml version="1.0" encoding="utf-8"?>
<ds:datastoreItem xmlns:ds="http://schemas.openxmlformats.org/officeDocument/2006/customXml" ds:itemID="{5B9B40F3-BC57-466C-80BA-E37D99CF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1423</Words>
  <Characters>8113</Characters>
  <Application>Microsoft Office Word</Application>
  <DocSecurity>4</DocSecurity>
  <PresentationFormat>Microsoft Word 14.0</PresentationFormat>
  <Lines>67</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Frida (SG)</dc:creator>
  <cp:keywords/>
  <dc:description/>
  <cp:lastModifiedBy>LIEPINA Kristine (COMM-RIGA)</cp:lastModifiedBy>
  <cp:revision>2</cp:revision>
  <dcterms:created xsi:type="dcterms:W3CDTF">2021-03-24T10:39:00Z</dcterms:created>
  <dcterms:modified xsi:type="dcterms:W3CDTF">2021-03-24T10:39:00Z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0x010100F131328705F06243817E5FF1877EF10A</vt:lpwstr>
  </property>
</Properties>
</file>